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45B" w:rsidRDefault="008F245B" w:rsidP="00C41019">
      <w:pPr>
        <w:pageBreakBefore/>
      </w:pPr>
      <w:r>
        <w:rPr>
          <w:b/>
          <w:bCs/>
        </w:rPr>
        <w:t xml:space="preserve">Guidelines for authors submitting to </w:t>
      </w:r>
      <w:r>
        <w:rPr>
          <w:b/>
          <w:bCs/>
          <w:i/>
        </w:rPr>
        <w:t>Praca Socjalna</w:t>
      </w:r>
      <w:r>
        <w:rPr>
          <w:b/>
          <w:bCs/>
        </w:rPr>
        <w:t>:</w:t>
      </w:r>
    </w:p>
    <w:p w:rsidR="008F245B" w:rsidRDefault="008F245B" w:rsidP="00C41019">
      <w:pPr>
        <w:numPr>
          <w:ilvl w:val="0"/>
          <w:numId w:val="1"/>
        </w:numPr>
        <w:tabs>
          <w:tab w:val="left" w:pos="450"/>
        </w:tabs>
      </w:pPr>
      <w:r>
        <w:t xml:space="preserve"> Manuscripts cannot be longer than 20 pages in a standard manuscript format (i.e. 12-point Times New Roman font, 1.5 line spacing, prepared in Microsoft Word) in the case of theoretical papers, 12 pages - other papers, and 5 pages - reviews and information.</w:t>
      </w:r>
    </w:p>
    <w:p w:rsidR="008F245B" w:rsidRDefault="008F245B" w:rsidP="00C41019">
      <w:pPr>
        <w:numPr>
          <w:ilvl w:val="0"/>
          <w:numId w:val="1"/>
        </w:numPr>
        <w:tabs>
          <w:tab w:val="left" w:pos="450"/>
        </w:tabs>
      </w:pPr>
      <w:r>
        <w:t xml:space="preserve"> Manuscripts should be submitted via email (</w:t>
      </w:r>
      <w:hyperlink r:id="rId5" w:history="1">
        <w:r>
          <w:rPr>
            <w:rStyle w:val="Hyperlink"/>
            <w:lang w:eastAsia="en-US"/>
          </w:rPr>
          <w:t>pracasocjalnaredakcja@aps.edu.pl</w:t>
        </w:r>
      </w:hyperlink>
      <w:r>
        <w:t xml:space="preserve">) in two versions: a complete one and one for review together with a competed </w:t>
      </w:r>
      <w:hyperlink r:id="rId6" w:anchor="_blank" w:history="1">
        <w:r>
          <w:rPr>
            <w:rStyle w:val="Hyperlink"/>
            <w:lang w:eastAsia="en-US"/>
          </w:rPr>
          <w:t>Author's Declaration</w:t>
        </w:r>
      </w:hyperlink>
      <w:r>
        <w:t> form (downloadable from http://www.aps.edu.pl/uczelnia/wydawnictwo/czasopisma.aspx). The following should be removed from the version for review: the author’s name and affiliation from the manuscript heading, references to the author's research from the main body of the manuscript (author-identifying information can be masked with the XY symbols), and the author’s publications from the reference list.</w:t>
      </w:r>
    </w:p>
    <w:p w:rsidR="008F245B" w:rsidRDefault="008F245B" w:rsidP="00C41019">
      <w:pPr>
        <w:numPr>
          <w:ilvl w:val="0"/>
          <w:numId w:val="1"/>
        </w:numPr>
        <w:tabs>
          <w:tab w:val="left" w:pos="450"/>
        </w:tabs>
      </w:pPr>
      <w:r>
        <w:t xml:space="preserve"> A brief note on the author (title and affiliation) and a declaration that the manuscript has not been published before and has not been submitted for publication elsewhere should accompany the complete version of the manuscript.</w:t>
      </w:r>
    </w:p>
    <w:p w:rsidR="008F245B" w:rsidRDefault="008F245B" w:rsidP="00C41019">
      <w:pPr>
        <w:numPr>
          <w:ilvl w:val="0"/>
          <w:numId w:val="1"/>
        </w:numPr>
        <w:tabs>
          <w:tab w:val="left" w:pos="450"/>
        </w:tabs>
      </w:pPr>
      <w:r>
        <w:t xml:space="preserve"> Tables, diagrams and illustrations, numbered and titled, with a note on what software (other than MS Word) was used and what part of the text they refer to should be included in separate files.</w:t>
      </w:r>
    </w:p>
    <w:p w:rsidR="008F245B" w:rsidRDefault="008F245B" w:rsidP="00C41019">
      <w:pPr>
        <w:numPr>
          <w:ilvl w:val="0"/>
          <w:numId w:val="1"/>
        </w:numPr>
        <w:tabs>
          <w:tab w:val="left" w:pos="450"/>
        </w:tabs>
      </w:pPr>
      <w:r>
        <w:t xml:space="preserve"> Each scientific article should be accompanied by an abstract (200-250 words) that reflects the structure of the article (introduction, method, results, conclusions) and key words (3-5 words) in the Polish language and/or the language of the manuscript, and in the English language. Proofreading of abstracts in the English language is provided by the publisher.</w:t>
      </w:r>
    </w:p>
    <w:p w:rsidR="008F245B" w:rsidRDefault="008F245B" w:rsidP="00C41019">
      <w:pPr>
        <w:numPr>
          <w:ilvl w:val="0"/>
          <w:numId w:val="1"/>
        </w:numPr>
        <w:tabs>
          <w:tab w:val="left" w:pos="450"/>
        </w:tabs>
      </w:pPr>
      <w:r>
        <w:t xml:space="preserve"> Bibliographical notes and the list of references should be compiled according to the APA style (6th edition).</w:t>
      </w:r>
    </w:p>
    <w:p w:rsidR="008F245B" w:rsidRDefault="008F245B" w:rsidP="00C41019">
      <w:pPr>
        <w:numPr>
          <w:ilvl w:val="0"/>
          <w:numId w:val="1"/>
        </w:numPr>
        <w:tabs>
          <w:tab w:val="left" w:pos="450"/>
        </w:tabs>
      </w:pPr>
      <w:r>
        <w:t xml:space="preserve"> References should be made in the text and include:</w:t>
      </w:r>
    </w:p>
    <w:p w:rsidR="008F245B" w:rsidRDefault="008F245B" w:rsidP="00C41019">
      <w:pPr>
        <w:tabs>
          <w:tab w:val="left" w:pos="900"/>
        </w:tabs>
        <w:ind w:left="900"/>
      </w:pPr>
      <w:r>
        <w:t>a. If it is a quotation – author’s name, year of publication, page number, e.g.:</w:t>
      </w:r>
      <w:r>
        <w:br/>
        <w:t>(Malinowski, 2016, p. 12).</w:t>
      </w:r>
    </w:p>
    <w:p w:rsidR="008F245B" w:rsidRDefault="008F245B" w:rsidP="00C41019">
      <w:pPr>
        <w:tabs>
          <w:tab w:val="left" w:pos="900"/>
        </w:tabs>
        <w:ind w:left="900"/>
      </w:pPr>
      <w:r>
        <w:t>b. If the source is referred to – author’s name, year of publication (or page number), e.g.:</w:t>
      </w:r>
      <w:r>
        <w:br/>
        <w:t>According to A. Malinowski (2016), …</w:t>
      </w:r>
      <w:r>
        <w:br/>
        <w:t>According to A. Malinowski (2016, p. 18), …</w:t>
      </w:r>
      <w:r>
        <w:br/>
        <w:t>According to many authors (Kowalski, 2010; Żak, 2012; Malinowski, 2016),</w:t>
      </w:r>
      <w:bookmarkStart w:id="0" w:name="_GoBack"/>
      <w:bookmarkEnd w:id="0"/>
      <w:r>
        <w:t xml:space="preserve"> …</w:t>
      </w:r>
    </w:p>
    <w:p w:rsidR="008F245B" w:rsidRDefault="008F245B" w:rsidP="00C41019">
      <w:pPr>
        <w:numPr>
          <w:ilvl w:val="0"/>
          <w:numId w:val="1"/>
        </w:numPr>
        <w:tabs>
          <w:tab w:val="left" w:pos="450"/>
        </w:tabs>
      </w:pPr>
      <w:r>
        <w:t xml:space="preserve"> The list of references should include all the sources of the quotations and information included in the paper. References should be listed alphabetically (by authors’ last names).</w:t>
      </w:r>
      <w:r>
        <w:br/>
        <w:t>Elements of bibliographic description:</w:t>
      </w:r>
    </w:p>
    <w:p w:rsidR="008F245B" w:rsidRDefault="008F245B" w:rsidP="00C41019">
      <w:pPr>
        <w:tabs>
          <w:tab w:val="left" w:pos="900"/>
        </w:tabs>
        <w:ind w:left="900"/>
      </w:pPr>
      <w:r>
        <w:t>a. Books – author’s (editor’s) last name, first name initial, year of publication, title, publisher's location and name, e.g.:</w:t>
      </w:r>
    </w:p>
    <w:p w:rsidR="008F245B" w:rsidRPr="00C41019" w:rsidRDefault="008F245B" w:rsidP="00C41019">
      <w:pPr>
        <w:numPr>
          <w:ilvl w:val="2"/>
          <w:numId w:val="1"/>
        </w:numPr>
        <w:tabs>
          <w:tab w:val="left" w:pos="1350"/>
        </w:tabs>
        <w:rPr>
          <w:lang w:val="pl-PL"/>
        </w:rPr>
      </w:pPr>
      <w:r w:rsidRPr="00C41019">
        <w:rPr>
          <w:lang w:val="pl-PL"/>
        </w:rPr>
        <w:t>Smolińska-Theiss, B. (2014). </w:t>
      </w:r>
      <w:r w:rsidRPr="00C41019">
        <w:rPr>
          <w:rStyle w:val="Emphasis"/>
          <w:i w:val="0"/>
          <w:lang w:val="pl-PL" w:eastAsia="en-US"/>
        </w:rPr>
        <w:t>Dzieciństwo jako status społeczny: Edukacyjne przywileje dzieci klasy średniej</w:t>
      </w:r>
      <w:r w:rsidRPr="00C41019">
        <w:rPr>
          <w:lang w:val="pl-PL"/>
        </w:rPr>
        <w:t>. Warszawa: APS.</w:t>
      </w:r>
    </w:p>
    <w:p w:rsidR="008F245B" w:rsidRDefault="008F245B" w:rsidP="00C41019">
      <w:pPr>
        <w:tabs>
          <w:tab w:val="left" w:pos="900"/>
        </w:tabs>
        <w:ind w:left="900"/>
      </w:pPr>
      <w:r>
        <w:t>b. Book chapters  – name of chapter's author, year of publication, title of chapter, first name initial and last name of book's author (editor), title of book, publisher's location and name, e.g.:</w:t>
      </w:r>
    </w:p>
    <w:p w:rsidR="008F245B" w:rsidRPr="00C41019" w:rsidRDefault="008F245B" w:rsidP="00C41019">
      <w:pPr>
        <w:numPr>
          <w:ilvl w:val="2"/>
          <w:numId w:val="1"/>
        </w:numPr>
        <w:tabs>
          <w:tab w:val="left" w:pos="1350"/>
        </w:tabs>
        <w:rPr>
          <w:lang w:val="pl-PL"/>
        </w:rPr>
      </w:pPr>
      <w:r w:rsidRPr="00C41019">
        <w:rPr>
          <w:lang w:val="pl-PL"/>
        </w:rPr>
        <w:t>Szmagalski, J. (2007). Metody pracy socjalnej w kontekście funkcji prakseologicznej pedagogiki społecznej. In E. Marynowicz-Hetka, </w:t>
      </w:r>
      <w:r w:rsidRPr="00C41019">
        <w:rPr>
          <w:rStyle w:val="Emphasis"/>
          <w:i w:val="0"/>
          <w:lang w:val="pl-PL" w:eastAsia="en-US"/>
        </w:rPr>
        <w:t>Pedagogika społeczna</w:t>
      </w:r>
      <w:r w:rsidRPr="00C41019">
        <w:rPr>
          <w:lang w:val="pl-PL"/>
        </w:rPr>
        <w:t> (Vol. 1, pp. 381–424). Warszawa: WN PWN.</w:t>
      </w:r>
    </w:p>
    <w:p w:rsidR="008F245B" w:rsidRDefault="008F245B" w:rsidP="00C41019">
      <w:pPr>
        <w:tabs>
          <w:tab w:val="left" w:pos="900"/>
        </w:tabs>
        <w:ind w:left="900"/>
      </w:pPr>
      <w:r>
        <w:t>c. Journal articles – author’s last name and first name initial, year of publication, title of article,</w:t>
      </w:r>
      <w:r>
        <w:rPr>
          <w:rStyle w:val="Emphasis"/>
          <w:lang w:eastAsia="en-US"/>
        </w:rPr>
        <w:t xml:space="preserve"> </w:t>
      </w:r>
      <w:r>
        <w:rPr>
          <w:rStyle w:val="Emphasis"/>
          <w:i w:val="0"/>
          <w:lang w:eastAsia="en-US"/>
        </w:rPr>
        <w:t>name of journal</w:t>
      </w:r>
      <w:r>
        <w:t>, </w:t>
      </w:r>
      <w:r>
        <w:rPr>
          <w:rStyle w:val="Emphasis"/>
          <w:i w:val="0"/>
          <w:lang w:eastAsia="en-US"/>
        </w:rPr>
        <w:t>issue number</w:t>
      </w:r>
      <w:r>
        <w:t> (</w:t>
      </w:r>
      <w:r>
        <w:rPr>
          <w:rStyle w:val="Emphasis"/>
          <w:i w:val="0"/>
          <w:lang w:eastAsia="en-US"/>
        </w:rPr>
        <w:t>volume number</w:t>
      </w:r>
      <w:r>
        <w:t>), pages from-to, e.g.:</w:t>
      </w:r>
    </w:p>
    <w:p w:rsidR="008F245B" w:rsidRDefault="008F245B" w:rsidP="00C41019">
      <w:pPr>
        <w:numPr>
          <w:ilvl w:val="2"/>
          <w:numId w:val="3"/>
        </w:numPr>
        <w:tabs>
          <w:tab w:val="left" w:pos="1350"/>
        </w:tabs>
      </w:pPr>
      <w:r w:rsidRPr="00C41019">
        <w:rPr>
          <w:lang w:val="pl-PL"/>
        </w:rPr>
        <w:t>Gulczyńska, A. (2011). Stygmaty i schematy. </w:t>
      </w:r>
      <w:r>
        <w:rPr>
          <w:rStyle w:val="Emphasis"/>
          <w:i w:val="0"/>
          <w:lang w:eastAsia="en-US"/>
        </w:rPr>
        <w:t>Nowy Obywatel</w:t>
      </w:r>
      <w:r>
        <w:t>, </w:t>
      </w:r>
      <w:r>
        <w:rPr>
          <w:rStyle w:val="Emphasis"/>
          <w:i w:val="0"/>
          <w:lang w:eastAsia="en-US"/>
        </w:rPr>
        <w:t>4</w:t>
      </w:r>
      <w:r>
        <w:t>, 38–39.</w:t>
      </w:r>
    </w:p>
    <w:p w:rsidR="008F245B" w:rsidRDefault="008F245B" w:rsidP="00C41019">
      <w:pPr>
        <w:tabs>
          <w:tab w:val="left" w:pos="900"/>
        </w:tabs>
        <w:ind w:left="900"/>
      </w:pPr>
      <w:r>
        <w:t>d. Unpublished papers - author’s name, year, title, type of paper, seat and name of the institution where the paper was prepared or where it is kept, e.g.:</w:t>
      </w:r>
    </w:p>
    <w:p w:rsidR="008F245B" w:rsidRDefault="008F245B" w:rsidP="00C41019">
      <w:pPr>
        <w:numPr>
          <w:ilvl w:val="2"/>
          <w:numId w:val="3"/>
        </w:numPr>
        <w:tabs>
          <w:tab w:val="left" w:pos="1350"/>
        </w:tabs>
      </w:pPr>
      <w:r w:rsidRPr="00C41019">
        <w:rPr>
          <w:lang w:val="pl-PL"/>
        </w:rPr>
        <w:t>Gnoińska, B. (2006). </w:t>
      </w:r>
      <w:r w:rsidRPr="00C41019">
        <w:rPr>
          <w:rStyle w:val="Emphasis"/>
          <w:i w:val="0"/>
          <w:lang w:val="pl-PL" w:eastAsia="en-US"/>
        </w:rPr>
        <w:t>Cyberprzestrzeń kreatorem rzeczywistości dziecka</w:t>
      </w:r>
      <w:r w:rsidRPr="00C41019">
        <w:rPr>
          <w:lang w:val="pl-PL"/>
        </w:rPr>
        <w:t xml:space="preserve">. </w:t>
      </w:r>
      <w:r>
        <w:t>Master's thesis. Warszawa: APS.</w:t>
      </w:r>
    </w:p>
    <w:p w:rsidR="008F245B" w:rsidRDefault="008F245B" w:rsidP="00C41019">
      <w:pPr>
        <w:tabs>
          <w:tab w:val="left" w:pos="900"/>
        </w:tabs>
        <w:ind w:left="900"/>
      </w:pPr>
      <w:r>
        <w:t>e. Bibliographic description of a website must contain the author’s name, title of the paper, access mode, access protocol and access date.</w:t>
      </w:r>
    </w:p>
    <w:p w:rsidR="008F245B" w:rsidRDefault="008F245B" w:rsidP="00C41019">
      <w:pPr>
        <w:numPr>
          <w:ilvl w:val="0"/>
          <w:numId w:val="2"/>
        </w:numPr>
        <w:tabs>
          <w:tab w:val="left" w:pos="450"/>
        </w:tabs>
      </w:pPr>
      <w:r>
        <w:t xml:space="preserve"> The list of references should not include any personal communications or works in preparation. Such sources should be cited only in footnotes.</w:t>
      </w:r>
    </w:p>
    <w:p w:rsidR="008F245B" w:rsidRDefault="008F245B" w:rsidP="00C41019">
      <w:pPr>
        <w:numPr>
          <w:ilvl w:val="0"/>
          <w:numId w:val="2"/>
        </w:numPr>
        <w:tabs>
          <w:tab w:val="left" w:pos="450"/>
        </w:tabs>
      </w:pPr>
      <w:r>
        <w:t xml:space="preserve"> The Editorial Staff does not return materials submitted and reserves the right to make changes to articles without changing their substance.</w:t>
      </w:r>
    </w:p>
    <w:p w:rsidR="008F245B" w:rsidRDefault="008F245B" w:rsidP="00C41019">
      <w:pPr>
        <w:numPr>
          <w:ilvl w:val="0"/>
          <w:numId w:val="2"/>
        </w:numPr>
        <w:tabs>
          <w:tab w:val="left" w:pos="450"/>
        </w:tabs>
      </w:pPr>
      <w:r>
        <w:t xml:space="preserve"> Manuscripts that do not conform to the Editorial Staff’s guidelines will not be submitted for review.</w:t>
      </w:r>
    </w:p>
    <w:p w:rsidR="008F245B" w:rsidRDefault="008F245B" w:rsidP="00C41019">
      <w:pPr>
        <w:numPr>
          <w:ilvl w:val="0"/>
          <w:numId w:val="2"/>
        </w:numPr>
        <w:tabs>
          <w:tab w:val="left" w:pos="450"/>
        </w:tabs>
      </w:pPr>
      <w:r>
        <w:t xml:space="preserve"> All copyrights on the materials submitted and published are transferred to the publisher.</w:t>
      </w:r>
    </w:p>
    <w:p w:rsidR="008F245B" w:rsidRDefault="008F245B" w:rsidP="00C41019">
      <w:pPr>
        <w:numPr>
          <w:ilvl w:val="0"/>
          <w:numId w:val="2"/>
        </w:numPr>
        <w:tabs>
          <w:tab w:val="left" w:pos="450"/>
        </w:tabs>
      </w:pPr>
      <w:r>
        <w:t xml:space="preserve"> Authors should reveal the contribution of individual authors to the manuscript, the contribution of other parties and the sources of its financing (financial disclosure), whereas the submitting author bears primary responsibility for the manuscript.</w:t>
      </w:r>
    </w:p>
    <w:p w:rsidR="008F245B" w:rsidRDefault="008F245B" w:rsidP="00C41019">
      <w:pPr>
        <w:numPr>
          <w:ilvl w:val="0"/>
          <w:numId w:val="2"/>
        </w:numPr>
        <w:tabs>
          <w:tab w:val="left" w:pos="450"/>
        </w:tabs>
      </w:pPr>
      <w:r>
        <w:t xml:space="preserve"> Authors are also obliged to cite the original sources under illustrations, tables, charts, etc. in a careful and reliable way.</w:t>
      </w:r>
    </w:p>
    <w:p w:rsidR="008F245B" w:rsidRDefault="008F245B" w:rsidP="00C41019">
      <w:pPr>
        <w:numPr>
          <w:ilvl w:val="0"/>
          <w:numId w:val="2"/>
        </w:numPr>
        <w:tabs>
          <w:tab w:val="left" w:pos="450"/>
        </w:tabs>
      </w:pPr>
      <w:r>
        <w:t xml:space="preserve"> All detected cases of scientific misconduct (ghostwriting – when other contributors to the manuscript are not revealed, guest authorship - when an author's contribution to the manuscript is little or none, but he or she is listed as an author/co-author) will be documented and exposed.</w:t>
      </w:r>
    </w:p>
    <w:p w:rsidR="008F245B" w:rsidRDefault="008F245B" w:rsidP="00C41019">
      <w:pPr>
        <w:numPr>
          <w:ilvl w:val="0"/>
          <w:numId w:val="2"/>
        </w:numPr>
        <w:tabs>
          <w:tab w:val="left" w:pos="450"/>
        </w:tabs>
      </w:pPr>
      <w:r>
        <w:t xml:space="preserve"> Manuscripts are reviewed confidentially and anonymously (double blind review) by two experts who are not in conflict of interests with the manuscript’s author(s), according to </w:t>
      </w:r>
      <w:r>
        <w:rPr>
          <w:i/>
          <w:iCs/>
        </w:rPr>
        <w:t>Dobre praktyki w procedurach recenzyjnych w nauce</w:t>
      </w:r>
      <w:r>
        <w:t xml:space="preserve"> [Best practices for review procedures in science] (2011), developed by the Ministry of Science and Higher Education.</w:t>
      </w:r>
    </w:p>
    <w:p w:rsidR="008F245B" w:rsidRDefault="008F245B" w:rsidP="00C41019">
      <w:pPr>
        <w:numPr>
          <w:ilvl w:val="0"/>
          <w:numId w:val="2"/>
        </w:numPr>
        <w:tabs>
          <w:tab w:val="left" w:pos="450"/>
        </w:tabs>
      </w:pPr>
      <w:r>
        <w:t xml:space="preserve"> A list of reviewers in published annually in the journal.</w:t>
      </w:r>
    </w:p>
    <w:p w:rsidR="008F245B" w:rsidRDefault="008F245B" w:rsidP="00C41019">
      <w:pPr>
        <w:numPr>
          <w:ilvl w:val="0"/>
          <w:numId w:val="2"/>
        </w:numPr>
        <w:tabs>
          <w:tab w:val="left" w:pos="450"/>
        </w:tabs>
      </w:pPr>
      <w:r>
        <w:t xml:space="preserve"> Manuscripts that do not meet the above requirements will not be considered for publication.</w:t>
      </w:r>
    </w:p>
    <w:p w:rsidR="008F245B" w:rsidRDefault="008F245B" w:rsidP="00C41019">
      <w:pPr>
        <w:numPr>
          <w:ilvl w:val="0"/>
          <w:numId w:val="2"/>
        </w:numPr>
        <w:tabs>
          <w:tab w:val="left" w:pos="450"/>
        </w:tabs>
      </w:pPr>
      <w:r>
        <w:t xml:space="preserve"> Acceptance of the manuscript for publication is contingent on positive reviews.</w:t>
      </w:r>
    </w:p>
    <w:p w:rsidR="008F245B" w:rsidRDefault="008F245B" w:rsidP="00C41019">
      <w:pPr>
        <w:numPr>
          <w:ilvl w:val="0"/>
          <w:numId w:val="2"/>
        </w:numPr>
        <w:tabs>
          <w:tab w:val="left" w:pos="450"/>
        </w:tabs>
      </w:pPr>
      <w:r>
        <w:t xml:space="preserve"> Authors receive a courtesy copy of the journal issue.</w:t>
      </w:r>
    </w:p>
    <w:p w:rsidR="008F245B" w:rsidRDefault="008F245B" w:rsidP="00C41019"/>
    <w:p w:rsidR="008F245B" w:rsidRDefault="008F245B"/>
    <w:sectPr w:rsidR="008F245B" w:rsidSect="00B950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decimal"/>
      <w:suff w:val="nothing"/>
      <w:lvlText w:val="%1."/>
      <w:lvlJc w:val="left"/>
      <w:pPr>
        <w:tabs>
          <w:tab w:val="num" w:pos="0"/>
        </w:tabs>
        <w:ind w:left="450"/>
      </w:pPr>
      <w:rPr>
        <w:rFonts w:ascii="Times New Roman" w:hAnsi="Times New Roman" w:cs="Times New Roman"/>
        <w:caps w:val="0"/>
        <w:smallCaps w:val="0"/>
        <w:color w:val="000000"/>
        <w:sz w:val="24"/>
        <w:szCs w:val="24"/>
      </w:rPr>
    </w:lvl>
    <w:lvl w:ilvl="1">
      <w:start w:val="1"/>
      <w:numFmt w:val="decimal"/>
      <w:suff w:val="nothing"/>
      <w:lvlText w:val="%2."/>
      <w:lvlJc w:val="left"/>
      <w:pPr>
        <w:tabs>
          <w:tab w:val="num" w:pos="0"/>
        </w:tabs>
        <w:ind w:left="900"/>
      </w:pPr>
      <w:rPr>
        <w:rFonts w:ascii="Times New Roman" w:hAnsi="Times New Roman" w:cs="Times New Roman"/>
        <w:caps w:val="0"/>
        <w:smallCaps w:val="0"/>
        <w:color w:val="000000"/>
        <w:sz w:val="24"/>
        <w:szCs w:val="24"/>
      </w:rPr>
    </w:lvl>
    <w:lvl w:ilvl="2">
      <w:start w:val="1"/>
      <w:numFmt w:val="bullet"/>
      <w:suff w:val="nothing"/>
      <w:lvlText w:val=""/>
      <w:lvlJc w:val="left"/>
      <w:pPr>
        <w:tabs>
          <w:tab w:val="num" w:pos="0"/>
        </w:tabs>
        <w:ind w:left="1350"/>
      </w:pPr>
      <w:rPr>
        <w:rFonts w:ascii="Symbol" w:hAnsi="Symbol"/>
        <w:caps w:val="0"/>
        <w:smallCaps w:val="0"/>
      </w:rPr>
    </w:lvl>
    <w:lvl w:ilvl="3">
      <w:start w:val="1"/>
      <w:numFmt w:val="bullet"/>
      <w:lvlText w:val=""/>
      <w:lvlJc w:val="left"/>
      <w:pPr>
        <w:tabs>
          <w:tab w:val="num" w:pos="2828"/>
        </w:tabs>
        <w:ind w:left="2828" w:hanging="283"/>
      </w:pPr>
      <w:rPr>
        <w:rFonts w:ascii="Symbol" w:hAnsi="Symbol"/>
        <w:caps w:val="0"/>
        <w:smallCaps w:val="0"/>
      </w:rPr>
    </w:lvl>
    <w:lvl w:ilvl="4">
      <w:start w:val="1"/>
      <w:numFmt w:val="bullet"/>
      <w:lvlText w:val=""/>
      <w:lvlJc w:val="left"/>
      <w:pPr>
        <w:tabs>
          <w:tab w:val="num" w:pos="3535"/>
        </w:tabs>
        <w:ind w:left="3535" w:hanging="283"/>
      </w:pPr>
      <w:rPr>
        <w:rFonts w:ascii="Symbol" w:hAnsi="Symbol"/>
        <w:caps w:val="0"/>
        <w:smallCaps w:val="0"/>
      </w:rPr>
    </w:lvl>
    <w:lvl w:ilvl="5">
      <w:start w:val="1"/>
      <w:numFmt w:val="bullet"/>
      <w:lvlText w:val=""/>
      <w:lvlJc w:val="left"/>
      <w:pPr>
        <w:tabs>
          <w:tab w:val="num" w:pos="4242"/>
        </w:tabs>
        <w:ind w:left="4242" w:hanging="283"/>
      </w:pPr>
      <w:rPr>
        <w:rFonts w:ascii="Symbol" w:hAnsi="Symbol"/>
        <w:caps w:val="0"/>
        <w:smallCaps w:val="0"/>
      </w:rPr>
    </w:lvl>
    <w:lvl w:ilvl="6">
      <w:start w:val="1"/>
      <w:numFmt w:val="bullet"/>
      <w:lvlText w:val=""/>
      <w:lvlJc w:val="left"/>
      <w:pPr>
        <w:tabs>
          <w:tab w:val="num" w:pos="4949"/>
        </w:tabs>
        <w:ind w:left="4949" w:hanging="283"/>
      </w:pPr>
      <w:rPr>
        <w:rFonts w:ascii="Symbol" w:hAnsi="Symbol"/>
        <w:caps w:val="0"/>
        <w:smallCaps w:val="0"/>
      </w:rPr>
    </w:lvl>
    <w:lvl w:ilvl="7">
      <w:start w:val="1"/>
      <w:numFmt w:val="bullet"/>
      <w:lvlText w:val=""/>
      <w:lvlJc w:val="left"/>
      <w:pPr>
        <w:tabs>
          <w:tab w:val="num" w:pos="5656"/>
        </w:tabs>
        <w:ind w:left="5656" w:hanging="283"/>
      </w:pPr>
      <w:rPr>
        <w:rFonts w:ascii="Symbol" w:hAnsi="Symbol"/>
        <w:caps w:val="0"/>
        <w:smallCaps w:val="0"/>
      </w:rPr>
    </w:lvl>
    <w:lvl w:ilvl="8">
      <w:start w:val="1"/>
      <w:numFmt w:val="bullet"/>
      <w:lvlText w:val=""/>
      <w:lvlJc w:val="left"/>
      <w:pPr>
        <w:tabs>
          <w:tab w:val="num" w:pos="6363"/>
        </w:tabs>
        <w:ind w:left="6363" w:hanging="283"/>
      </w:pPr>
      <w:rPr>
        <w:rFonts w:ascii="Symbol" w:hAnsi="Symbol"/>
        <w:caps w:val="0"/>
        <w:smallCaps w:val="0"/>
      </w:rPr>
    </w:lvl>
  </w:abstractNum>
  <w:abstractNum w:abstractNumId="1">
    <w:nsid w:val="00000006"/>
    <w:multiLevelType w:val="multilevel"/>
    <w:tmpl w:val="00000006"/>
    <w:name w:val="WW8Num6"/>
    <w:lvl w:ilvl="0">
      <w:start w:val="9"/>
      <w:numFmt w:val="decimal"/>
      <w:suff w:val="nothing"/>
      <w:lvlText w:val="%1."/>
      <w:lvlJc w:val="left"/>
      <w:pPr>
        <w:tabs>
          <w:tab w:val="num" w:pos="0"/>
        </w:tabs>
        <w:ind w:left="450"/>
      </w:pPr>
      <w:rPr>
        <w:rFonts w:ascii="Times New Roman" w:eastAsia="Times New Roman" w:hAnsi="Times New Roman" w:cs="Times New Roman"/>
        <w:color w:val="000000"/>
        <w:kern w:val="1"/>
        <w:sz w:val="24"/>
        <w:szCs w:val="24"/>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2">
    <w:nsid w:val="00000008"/>
    <w:multiLevelType w:val="multilevel"/>
    <w:tmpl w:val="00000008"/>
    <w:name w:val="WW8Num8"/>
    <w:lvl w:ilvl="0">
      <w:start w:val="1"/>
      <w:numFmt w:val="decimal"/>
      <w:suff w:val="nothing"/>
      <w:lvlText w:val="%1."/>
      <w:lvlJc w:val="left"/>
      <w:pPr>
        <w:tabs>
          <w:tab w:val="num" w:pos="0"/>
        </w:tabs>
        <w:ind w:left="450"/>
      </w:pPr>
      <w:rPr>
        <w:rFonts w:cs="Times New Roman"/>
      </w:rPr>
    </w:lvl>
    <w:lvl w:ilvl="1">
      <w:start w:val="3"/>
      <w:numFmt w:val="decimal"/>
      <w:suff w:val="nothing"/>
      <w:lvlText w:val="%2."/>
      <w:lvlJc w:val="left"/>
      <w:pPr>
        <w:tabs>
          <w:tab w:val="num" w:pos="0"/>
        </w:tabs>
        <w:ind w:left="900"/>
      </w:pPr>
      <w:rPr>
        <w:rFonts w:ascii="Times New Roman" w:hAnsi="Times New Roman" w:cs="Times New Roman"/>
        <w:b w:val="0"/>
        <w:i w:val="0"/>
        <w:caps w:val="0"/>
        <w:smallCaps w:val="0"/>
        <w:color w:val="000000"/>
        <w:spacing w:val="0"/>
        <w:sz w:val="24"/>
        <w:szCs w:val="24"/>
      </w:rPr>
    </w:lvl>
    <w:lvl w:ilvl="2">
      <w:start w:val="1"/>
      <w:numFmt w:val="bullet"/>
      <w:suff w:val="nothing"/>
      <w:lvlText w:val=""/>
      <w:lvlJc w:val="left"/>
      <w:pPr>
        <w:tabs>
          <w:tab w:val="num" w:pos="0"/>
        </w:tabs>
        <w:ind w:left="1350"/>
      </w:pPr>
      <w:rPr>
        <w:rFonts w:ascii="Symbol" w:hAnsi="Symbol"/>
        <w:color w:val="000000"/>
        <w:sz w:val="24"/>
      </w:rPr>
    </w:lvl>
    <w:lvl w:ilvl="3">
      <w:start w:val="1"/>
      <w:numFmt w:val="bullet"/>
      <w:lvlText w:val=""/>
      <w:lvlJc w:val="left"/>
      <w:pPr>
        <w:tabs>
          <w:tab w:val="num" w:pos="2828"/>
        </w:tabs>
        <w:ind w:left="2828" w:hanging="283"/>
      </w:pPr>
      <w:rPr>
        <w:rFonts w:ascii="Symbol" w:hAnsi="Symbol"/>
        <w:color w:val="000000"/>
        <w:sz w:val="24"/>
      </w:rPr>
    </w:lvl>
    <w:lvl w:ilvl="4">
      <w:start w:val="1"/>
      <w:numFmt w:val="bullet"/>
      <w:lvlText w:val=""/>
      <w:lvlJc w:val="left"/>
      <w:pPr>
        <w:tabs>
          <w:tab w:val="num" w:pos="3535"/>
        </w:tabs>
        <w:ind w:left="3535" w:hanging="283"/>
      </w:pPr>
      <w:rPr>
        <w:rFonts w:ascii="Symbol" w:hAnsi="Symbol"/>
        <w:color w:val="000000"/>
        <w:sz w:val="24"/>
      </w:rPr>
    </w:lvl>
    <w:lvl w:ilvl="5">
      <w:start w:val="1"/>
      <w:numFmt w:val="bullet"/>
      <w:lvlText w:val=""/>
      <w:lvlJc w:val="left"/>
      <w:pPr>
        <w:tabs>
          <w:tab w:val="num" w:pos="4242"/>
        </w:tabs>
        <w:ind w:left="4242" w:hanging="283"/>
      </w:pPr>
      <w:rPr>
        <w:rFonts w:ascii="Symbol" w:hAnsi="Symbol"/>
        <w:color w:val="000000"/>
        <w:sz w:val="24"/>
      </w:rPr>
    </w:lvl>
    <w:lvl w:ilvl="6">
      <w:start w:val="1"/>
      <w:numFmt w:val="bullet"/>
      <w:lvlText w:val=""/>
      <w:lvlJc w:val="left"/>
      <w:pPr>
        <w:tabs>
          <w:tab w:val="num" w:pos="4949"/>
        </w:tabs>
        <w:ind w:left="4949" w:hanging="283"/>
      </w:pPr>
      <w:rPr>
        <w:rFonts w:ascii="Symbol" w:hAnsi="Symbol"/>
        <w:color w:val="000000"/>
        <w:sz w:val="24"/>
      </w:rPr>
    </w:lvl>
    <w:lvl w:ilvl="7">
      <w:start w:val="1"/>
      <w:numFmt w:val="bullet"/>
      <w:lvlText w:val=""/>
      <w:lvlJc w:val="left"/>
      <w:pPr>
        <w:tabs>
          <w:tab w:val="num" w:pos="5656"/>
        </w:tabs>
        <w:ind w:left="5656" w:hanging="283"/>
      </w:pPr>
      <w:rPr>
        <w:rFonts w:ascii="Symbol" w:hAnsi="Symbol"/>
        <w:color w:val="000000"/>
        <w:sz w:val="24"/>
      </w:rPr>
    </w:lvl>
    <w:lvl w:ilvl="8">
      <w:start w:val="1"/>
      <w:numFmt w:val="bullet"/>
      <w:lvlText w:val=""/>
      <w:lvlJc w:val="left"/>
      <w:pPr>
        <w:tabs>
          <w:tab w:val="num" w:pos="6363"/>
        </w:tabs>
        <w:ind w:left="6363" w:hanging="283"/>
      </w:pPr>
      <w:rPr>
        <w:rFonts w:ascii="Symbol" w:hAnsi="Symbol"/>
        <w:color w:val="000000"/>
        <w:sz w:val="24"/>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1019"/>
    <w:rsid w:val="00412849"/>
    <w:rsid w:val="008F245B"/>
    <w:rsid w:val="00B666F8"/>
    <w:rsid w:val="00B9506A"/>
    <w:rsid w:val="00C41019"/>
    <w:rsid w:val="00D244E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019"/>
    <w:pPr>
      <w:widowControl w:val="0"/>
      <w:suppressAutoHyphens/>
    </w:pPr>
    <w:rPr>
      <w:rFonts w:ascii="Times New Roman" w:hAnsi="Times New Roman"/>
      <w:color w:val="000000"/>
      <w:kern w:val="1"/>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C41019"/>
    <w:rPr>
      <w:rFonts w:cs="Times New Roman"/>
      <w:i/>
      <w:lang w:val="en-US"/>
    </w:rPr>
  </w:style>
  <w:style w:type="character" w:styleId="Hyperlink">
    <w:name w:val="Hyperlink"/>
    <w:basedOn w:val="DefaultParagraphFont"/>
    <w:uiPriority w:val="99"/>
    <w:rsid w:val="00C41019"/>
    <w:rPr>
      <w:rFonts w:cs="Times New Roman"/>
      <w:color w:val="000080"/>
      <w:u w:val="single"/>
      <w:lang w:val="en-US"/>
    </w:rPr>
  </w:style>
  <w:style w:type="paragraph" w:styleId="BalloonText">
    <w:name w:val="Balloon Text"/>
    <w:basedOn w:val="Normal"/>
    <w:link w:val="BalloonTextChar"/>
    <w:uiPriority w:val="99"/>
    <w:semiHidden/>
    <w:rsid w:val="00C4101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1019"/>
    <w:rPr>
      <w:rFonts w:ascii="Tahoma" w:eastAsia="Times New Roman" w:hAnsi="Tahoma" w:cs="Tahoma"/>
      <w:color w:val="000000"/>
      <w:kern w:val="1"/>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s.edu.pl/media/855197/ps_oswiadczenie_autora.doc" TargetMode="External"/><Relationship Id="rId5" Type="http://schemas.openxmlformats.org/officeDocument/2006/relationships/hyperlink" Target="mailto:pracasocjalnaredakcja@aps.edu.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803</Words>
  <Characters>4821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authors submitting to Praca Socjalna:</dc:title>
  <dc:subject/>
  <dc:creator>Monika Bielska</dc:creator>
  <cp:keywords/>
  <dc:description/>
  <cp:lastModifiedBy>Iwona Danieluk</cp:lastModifiedBy>
  <cp:revision>2</cp:revision>
  <dcterms:created xsi:type="dcterms:W3CDTF">2017-10-19T12:20:00Z</dcterms:created>
  <dcterms:modified xsi:type="dcterms:W3CDTF">2017-10-19T12:20:00Z</dcterms:modified>
</cp:coreProperties>
</file>