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2F002" w14:textId="77777777" w:rsidR="00A356A0" w:rsidRPr="002B4874" w:rsidRDefault="002B4874" w:rsidP="00A356A0">
      <w:pPr>
        <w:jc w:val="right"/>
        <w:rPr>
          <w:rFonts w:ascii="Calibri Light" w:hAnsi="Calibri Light" w:cs="Calibri Light"/>
          <w:color w:val="auto"/>
          <w:lang w:val="en-GB"/>
        </w:rPr>
      </w:pPr>
      <w:r>
        <w:rPr>
          <w:rFonts w:ascii="Calibri Light" w:hAnsi="Calibri Light" w:cs="Calibri Light"/>
          <w:color w:val="auto"/>
          <w:lang w:val="en"/>
        </w:rPr>
        <w:t>Appendix No. 1 to Resolution No. 524/2023</w:t>
      </w:r>
    </w:p>
    <w:p w14:paraId="4BE2D02A" w14:textId="299CE0A6" w:rsidR="00A356A0" w:rsidRPr="002B4874" w:rsidRDefault="002B4874" w:rsidP="002B4874">
      <w:pPr>
        <w:jc w:val="right"/>
        <w:rPr>
          <w:rFonts w:ascii="Calibri Light" w:hAnsi="Calibri Light" w:cs="Calibri Light"/>
          <w:color w:val="auto"/>
          <w:lang w:val="en-GB"/>
        </w:rPr>
      </w:pPr>
      <w:r>
        <w:rPr>
          <w:rFonts w:ascii="Calibri Light" w:hAnsi="Calibri Light" w:cs="Calibri Light"/>
          <w:color w:val="auto"/>
          <w:lang w:val="en"/>
        </w:rPr>
        <w:t>Senate of the Maria Grzegorzewska University</w:t>
      </w:r>
    </w:p>
    <w:p w14:paraId="61F323D0" w14:textId="3CB6CCFD" w:rsidR="00262927" w:rsidRPr="002B4874" w:rsidRDefault="002B4874" w:rsidP="00A356A0">
      <w:pPr>
        <w:jc w:val="right"/>
        <w:rPr>
          <w:rFonts w:ascii="Calibri Light" w:hAnsi="Calibri Light" w:cs="Calibri Light"/>
          <w:color w:val="auto"/>
          <w:lang w:val="en-GB"/>
        </w:rPr>
      </w:pPr>
      <w:r>
        <w:rPr>
          <w:rFonts w:ascii="Calibri Light" w:hAnsi="Calibri Light" w:cs="Calibri Light"/>
          <w:color w:val="auto"/>
          <w:lang w:val="en"/>
        </w:rPr>
        <w:t>o</w:t>
      </w:r>
      <w:r>
        <w:rPr>
          <w:rFonts w:ascii="Calibri Light" w:hAnsi="Calibri Light" w:cs="Calibri Light"/>
          <w:color w:val="auto"/>
          <w:lang w:val="en"/>
        </w:rPr>
        <w:t>f 22 March 2023</w:t>
      </w:r>
    </w:p>
    <w:p w14:paraId="47B1D32E" w14:textId="5A958E52" w:rsidR="00262927" w:rsidRPr="002B4874" w:rsidRDefault="002B4874" w:rsidP="007B5EB3">
      <w:pPr>
        <w:spacing w:before="480" w:after="240"/>
        <w:jc w:val="center"/>
        <w:outlineLvl w:val="0"/>
        <w:rPr>
          <w:rFonts w:ascii="Times New Roman" w:hAnsi="Times New Roman" w:cs="Times New Roman"/>
          <w:color w:val="auto"/>
          <w:lang w:val="en-GB"/>
        </w:rPr>
      </w:pPr>
      <w:bookmarkStart w:id="0" w:name="bookmark1"/>
      <w:r>
        <w:rPr>
          <w:rFonts w:ascii="Times New Roman" w:hAnsi="Times New Roman" w:cs="Times New Roman"/>
          <w:b/>
          <w:bCs/>
          <w:color w:val="auto"/>
          <w:lang w:val="en"/>
        </w:rPr>
        <w:t xml:space="preserve">DOCTORAL SCHOOL OF THE </w:t>
      </w:r>
      <w:bookmarkEnd w:id="0"/>
      <w:r>
        <w:rPr>
          <w:rFonts w:ascii="Times New Roman" w:hAnsi="Times New Roman" w:cs="Times New Roman"/>
          <w:b/>
          <w:bCs/>
          <w:color w:val="auto"/>
          <w:lang w:val="en"/>
        </w:rPr>
        <w:t>MARIA GRZEGORZEWSKA UNIVERSITY</w:t>
      </w:r>
    </w:p>
    <w:p w14:paraId="0BFF65C7" w14:textId="77777777" w:rsidR="00262927" w:rsidRPr="002B4874" w:rsidRDefault="002B4874" w:rsidP="007B5EB3">
      <w:pPr>
        <w:spacing w:before="240" w:after="480"/>
        <w:jc w:val="center"/>
        <w:outlineLvl w:val="0"/>
        <w:rPr>
          <w:rFonts w:ascii="Times New Roman" w:hAnsi="Times New Roman" w:cs="Times New Roman"/>
          <w:color w:val="auto"/>
          <w:lang w:val="en-GB"/>
        </w:rPr>
      </w:pPr>
      <w:bookmarkStart w:id="1" w:name="bookmark0"/>
      <w:bookmarkStart w:id="2" w:name="bookmark2"/>
      <w:r>
        <w:rPr>
          <w:rFonts w:ascii="Times New Roman" w:hAnsi="Times New Roman" w:cs="Times New Roman"/>
          <w:b/>
          <w:bCs/>
          <w:color w:val="auto"/>
          <w:lang w:val="en"/>
        </w:rPr>
        <w:t>DESCRIPTION OF THE CURRICULUM</w:t>
      </w:r>
      <w:bookmarkEnd w:id="1"/>
      <w:bookmarkEnd w:id="2"/>
    </w:p>
    <w:p w14:paraId="5FF04381" w14:textId="77777777" w:rsidR="00262927" w:rsidRPr="002B4874" w:rsidRDefault="002B4874" w:rsidP="007B5EB3">
      <w:pPr>
        <w:spacing w:after="240"/>
        <w:ind w:firstLine="709"/>
        <w:jc w:val="both"/>
        <w:rPr>
          <w:rFonts w:ascii="Times New Roman" w:hAnsi="Times New Roman" w:cs="Times New Roman"/>
          <w:color w:val="auto"/>
          <w:lang w:val="en-GB"/>
        </w:rPr>
      </w:pPr>
      <w:r>
        <w:rPr>
          <w:rFonts w:ascii="Times New Roman" w:hAnsi="Times New Roman" w:cs="Times New Roman"/>
          <w:color w:val="auto"/>
          <w:lang w:val="en"/>
        </w:rPr>
        <w:t>The goal of the Doctoral School is to promote the scientific and personal development of doctoral students, including their general skills and competencies, and ultimately to enable them to achieve independence in conducting advanced scientific research. The direct result of education at the Doctoral School is a doctoral dissertation which presents the results of individual research work carried out under the scrutiny of one or more supervisors. In addition to solving a specific research problem in the fiel</w:t>
      </w:r>
      <w:r>
        <w:rPr>
          <w:rFonts w:ascii="Times New Roman" w:hAnsi="Times New Roman" w:cs="Times New Roman"/>
          <w:color w:val="auto"/>
          <w:lang w:val="en"/>
        </w:rPr>
        <w:t>d of social sciences, the doctoral student participates in a process aimed at gaining multifaceted knowledge and understanding of the world.</w:t>
      </w:r>
    </w:p>
    <w:p w14:paraId="1F5A9F41" w14:textId="6DA89900" w:rsidR="00262927" w:rsidRPr="002B4874" w:rsidRDefault="002B4874" w:rsidP="007B5EB3">
      <w:pPr>
        <w:spacing w:after="240"/>
        <w:ind w:firstLine="709"/>
        <w:jc w:val="both"/>
        <w:rPr>
          <w:rFonts w:ascii="Times New Roman" w:hAnsi="Times New Roman" w:cs="Times New Roman"/>
          <w:color w:val="auto"/>
          <w:lang w:val="en-GB"/>
        </w:rPr>
      </w:pPr>
      <w:r>
        <w:rPr>
          <w:rFonts w:ascii="Times New Roman" w:hAnsi="Times New Roman" w:cs="Times New Roman"/>
          <w:color w:val="auto"/>
          <w:lang w:val="en"/>
        </w:rPr>
        <w:t>The curriculum of the Doctoral School at the Maria Grzegorzewska University</w:t>
      </w:r>
      <w:r>
        <w:rPr>
          <w:rFonts w:ascii="Times New Roman" w:hAnsi="Times New Roman" w:cs="Times New Roman"/>
          <w:color w:val="auto"/>
          <w:lang w:val="en"/>
        </w:rPr>
        <w:t xml:space="preserve"> is </w:t>
      </w:r>
      <w:r>
        <w:rPr>
          <w:rFonts w:ascii="Times New Roman" w:hAnsi="Times New Roman" w:cs="Times New Roman"/>
          <w:b/>
          <w:bCs/>
          <w:color w:val="auto"/>
          <w:lang w:val="en"/>
        </w:rPr>
        <w:t xml:space="preserve">interdisciplinary – </w:t>
      </w:r>
      <w:r>
        <w:rPr>
          <w:rFonts w:ascii="Times New Roman" w:hAnsi="Times New Roman" w:cs="Times New Roman"/>
          <w:color w:val="auto"/>
          <w:lang w:val="en"/>
        </w:rPr>
        <w:t>its structure allows for the simultaneous exploration of theoretical and empirical areas in social sciences.</w:t>
      </w:r>
    </w:p>
    <w:p w14:paraId="729C4FF6" w14:textId="77777777" w:rsidR="00262927" w:rsidRPr="002B4874" w:rsidRDefault="002B4874" w:rsidP="007B5EB3">
      <w:pPr>
        <w:spacing w:after="240"/>
        <w:ind w:firstLine="709"/>
        <w:jc w:val="both"/>
        <w:rPr>
          <w:rFonts w:ascii="Times New Roman" w:hAnsi="Times New Roman" w:cs="Times New Roman"/>
          <w:color w:val="auto"/>
          <w:lang w:val="en-GB"/>
        </w:rPr>
      </w:pPr>
      <w:r>
        <w:rPr>
          <w:rFonts w:ascii="Times New Roman" w:hAnsi="Times New Roman" w:cs="Times New Roman"/>
          <w:color w:val="auto"/>
          <w:lang w:val="en"/>
        </w:rPr>
        <w:t xml:space="preserve">The program consists of </w:t>
      </w:r>
      <w:r>
        <w:rPr>
          <w:rFonts w:ascii="Times New Roman" w:hAnsi="Times New Roman" w:cs="Times New Roman"/>
          <w:b/>
          <w:bCs/>
          <w:color w:val="auto"/>
          <w:lang w:val="en"/>
        </w:rPr>
        <w:t>four modules</w:t>
      </w:r>
      <w:r>
        <w:rPr>
          <w:rFonts w:ascii="Times New Roman" w:hAnsi="Times New Roman" w:cs="Times New Roman"/>
          <w:color w:val="auto"/>
          <w:lang w:val="en"/>
        </w:rPr>
        <w:t>, covering: theoretical knowledge in social sciences; methodological and academic knowledge and skills; work on the doctoral dissertation; and didactic preparation for future academic teachers. The modules will be implemented in parallel, so that deepening theoretical knowledge contributes to the development of a high-quality research project, the possibility of its implementation based on research grants, and the creation of a doctoral dissertation, which forms the basis for obtaining a doctora</w:t>
      </w:r>
      <w:r>
        <w:rPr>
          <w:rFonts w:ascii="Times New Roman" w:hAnsi="Times New Roman" w:cs="Times New Roman"/>
          <w:color w:val="auto"/>
          <w:lang w:val="en"/>
        </w:rPr>
        <w:t>l degree.</w:t>
      </w:r>
    </w:p>
    <w:p w14:paraId="71B477EA" w14:textId="77777777" w:rsidR="00262927" w:rsidRPr="002B4874" w:rsidRDefault="002B4874" w:rsidP="007B5EB3">
      <w:pPr>
        <w:spacing w:before="240" w:after="240"/>
        <w:jc w:val="both"/>
        <w:outlineLvl w:val="0"/>
        <w:rPr>
          <w:rFonts w:ascii="Times New Roman" w:hAnsi="Times New Roman" w:cs="Times New Roman"/>
          <w:color w:val="auto"/>
          <w:lang w:val="en-GB"/>
        </w:rPr>
      </w:pPr>
      <w:bookmarkStart w:id="3" w:name="bookmark3"/>
      <w:bookmarkStart w:id="4" w:name="bookmark4"/>
      <w:r>
        <w:rPr>
          <w:rFonts w:ascii="Times New Roman" w:hAnsi="Times New Roman" w:cs="Times New Roman"/>
          <w:b/>
          <w:bCs/>
          <w:color w:val="auto"/>
          <w:lang w:val="en"/>
        </w:rPr>
        <w:t>MODULE I. TRENDS IN SOCIAL SCIENCE</w:t>
      </w:r>
      <w:bookmarkEnd w:id="3"/>
      <w:bookmarkEnd w:id="4"/>
    </w:p>
    <w:p w14:paraId="33694D69" w14:textId="77777777" w:rsidR="00262927" w:rsidRPr="002B4874" w:rsidRDefault="002B4874" w:rsidP="00A356A0">
      <w:pPr>
        <w:jc w:val="both"/>
        <w:rPr>
          <w:rFonts w:ascii="Times New Roman" w:hAnsi="Times New Roman" w:cs="Times New Roman"/>
          <w:color w:val="auto"/>
          <w:lang w:val="en-GB"/>
        </w:rPr>
      </w:pPr>
      <w:r>
        <w:rPr>
          <w:rFonts w:ascii="Times New Roman" w:hAnsi="Times New Roman" w:cs="Times New Roman"/>
          <w:color w:val="auto"/>
          <w:lang w:val="en"/>
        </w:rPr>
        <w:t>This module provides an opportunity to deepen knowledge of the doctoral dissertation topic and related fields. It highlights current directions of scientific exploration and ongoing discussions on these topics. It presents leading scientific centers and their latest research and publication achievements.</w:t>
      </w:r>
    </w:p>
    <w:p w14:paraId="69CB834B" w14:textId="77777777" w:rsidR="00262927" w:rsidRPr="002B4874" w:rsidRDefault="002B4874" w:rsidP="00A356A0">
      <w:pPr>
        <w:jc w:val="both"/>
        <w:rPr>
          <w:rFonts w:ascii="Times New Roman" w:hAnsi="Times New Roman" w:cs="Times New Roman"/>
          <w:color w:val="auto"/>
          <w:lang w:val="en-GB"/>
        </w:rPr>
      </w:pPr>
      <w:r>
        <w:rPr>
          <w:rFonts w:ascii="Times New Roman" w:hAnsi="Times New Roman" w:cs="Times New Roman"/>
          <w:color w:val="auto"/>
          <w:lang w:val="en"/>
        </w:rPr>
        <w:t>Courses conducted in this module include:</w:t>
      </w:r>
    </w:p>
    <w:p w14:paraId="3F78BF65" w14:textId="16879BAF" w:rsidR="00262927" w:rsidRPr="00F84BA2" w:rsidRDefault="002B4874" w:rsidP="005172B2">
      <w:pPr>
        <w:pStyle w:val="Styl1"/>
      </w:pPr>
      <w:r>
        <w:rPr>
          <w:lang w:val="en"/>
        </w:rPr>
        <w:t>Trends in social science;</w:t>
      </w:r>
    </w:p>
    <w:p w14:paraId="165355CB" w14:textId="27B4A13E" w:rsidR="00262927" w:rsidRPr="002B4874" w:rsidRDefault="002B4874" w:rsidP="005172B2">
      <w:pPr>
        <w:pStyle w:val="Styl1"/>
        <w:rPr>
          <w:lang w:val="en-GB"/>
        </w:rPr>
      </w:pPr>
      <w:r>
        <w:rPr>
          <w:lang w:val="en"/>
        </w:rPr>
        <w:t>Interactive lectures with outstanding researchers;</w:t>
      </w:r>
    </w:p>
    <w:p w14:paraId="160F06E5" w14:textId="579A9AB1" w:rsidR="00262927" w:rsidRPr="002B4874" w:rsidRDefault="002B4874" w:rsidP="005172B2">
      <w:pPr>
        <w:pStyle w:val="Styl1"/>
        <w:rPr>
          <w:lang w:val="en-GB"/>
        </w:rPr>
      </w:pPr>
      <w:r>
        <w:rPr>
          <w:lang w:val="en"/>
        </w:rPr>
        <w:t>Lectures and seminars by visiting professors.</w:t>
      </w:r>
    </w:p>
    <w:p w14:paraId="598830DE" w14:textId="77777777" w:rsidR="00262927" w:rsidRPr="002B4874" w:rsidRDefault="002B4874" w:rsidP="007B5EB3">
      <w:pPr>
        <w:spacing w:before="240" w:after="240"/>
        <w:jc w:val="both"/>
        <w:outlineLvl w:val="0"/>
        <w:rPr>
          <w:rFonts w:ascii="Times New Roman" w:hAnsi="Times New Roman" w:cs="Times New Roman"/>
          <w:color w:val="auto"/>
          <w:lang w:val="en-GB"/>
        </w:rPr>
      </w:pPr>
      <w:bookmarkStart w:id="5" w:name="bookmark8"/>
      <w:bookmarkStart w:id="6" w:name="bookmark9"/>
      <w:r>
        <w:rPr>
          <w:rFonts w:ascii="Times New Roman" w:hAnsi="Times New Roman" w:cs="Times New Roman"/>
          <w:b/>
          <w:bCs/>
          <w:color w:val="auto"/>
          <w:lang w:val="en"/>
        </w:rPr>
        <w:t>MODULE II. PREPARATION FOR SCIENTIFIC AND RESEARCH WORK</w:t>
      </w:r>
      <w:bookmarkEnd w:id="5"/>
      <w:bookmarkEnd w:id="6"/>
    </w:p>
    <w:p w14:paraId="75354C12" w14:textId="6340A171" w:rsidR="00262927" w:rsidRPr="002B4874" w:rsidRDefault="002B4874" w:rsidP="00A356A0">
      <w:pPr>
        <w:jc w:val="both"/>
        <w:rPr>
          <w:rFonts w:ascii="Times New Roman" w:hAnsi="Times New Roman" w:cs="Times New Roman"/>
          <w:color w:val="auto"/>
          <w:lang w:val="en-GB"/>
        </w:rPr>
      </w:pPr>
      <w:r>
        <w:rPr>
          <w:rFonts w:ascii="Times New Roman" w:hAnsi="Times New Roman" w:cs="Times New Roman"/>
          <w:color w:val="auto"/>
          <w:lang w:val="en"/>
        </w:rPr>
        <w:t>This module prepares students in a practical way to consciously choose a research orientation and design their own research workshop, with an emphasis on the methodological differences within social sciences. It introduces institutional rules for conducting research, including rules for preparing research grant proposals. The module equips students with the skills necessary for planning independent and team-based research activities. It prepares students for analyzing research materials (both qualitative an</w:t>
      </w:r>
      <w:r>
        <w:rPr>
          <w:rFonts w:ascii="Times New Roman" w:hAnsi="Times New Roman" w:cs="Times New Roman"/>
          <w:color w:val="auto"/>
          <w:lang w:val="en"/>
        </w:rPr>
        <w:t>d quantitative), disseminating research results, and creating high-quality scientific publications.</w:t>
      </w:r>
    </w:p>
    <w:p w14:paraId="18B44873" w14:textId="77777777" w:rsidR="00262927" w:rsidRPr="002B4874" w:rsidRDefault="002B4874" w:rsidP="00A356A0">
      <w:pPr>
        <w:jc w:val="both"/>
        <w:rPr>
          <w:rFonts w:ascii="Times New Roman" w:hAnsi="Times New Roman" w:cs="Times New Roman"/>
          <w:color w:val="auto"/>
          <w:lang w:val="en-GB"/>
        </w:rPr>
      </w:pPr>
      <w:r>
        <w:rPr>
          <w:rFonts w:ascii="Times New Roman" w:hAnsi="Times New Roman" w:cs="Times New Roman"/>
          <w:color w:val="auto"/>
          <w:lang w:val="en"/>
        </w:rPr>
        <w:t>Courses conducted in this module include:</w:t>
      </w:r>
    </w:p>
    <w:p w14:paraId="574C2BA2" w14:textId="612D69F7" w:rsidR="00262927" w:rsidRPr="002B4874" w:rsidRDefault="002B4874" w:rsidP="005172B2">
      <w:pPr>
        <w:pStyle w:val="Styl1"/>
        <w:rPr>
          <w:lang w:val="en-GB"/>
        </w:rPr>
      </w:pPr>
      <w:r>
        <w:rPr>
          <w:lang w:val="en"/>
        </w:rPr>
        <w:lastRenderedPageBreak/>
        <w:t>Academic Writing (classes taught in English);</w:t>
      </w:r>
    </w:p>
    <w:p w14:paraId="2032C71C" w14:textId="264717A0" w:rsidR="00262927" w:rsidRPr="002B4874" w:rsidRDefault="002B4874" w:rsidP="005172B2">
      <w:pPr>
        <w:pStyle w:val="Styl1"/>
        <w:rPr>
          <w:lang w:val="en-GB"/>
        </w:rPr>
      </w:pPr>
      <w:r>
        <w:rPr>
          <w:lang w:val="en"/>
        </w:rPr>
        <w:t>Research methodology and fundamentals of data analysis in social sciences;</w:t>
      </w:r>
    </w:p>
    <w:p w14:paraId="570D4E2B" w14:textId="10622860" w:rsidR="00262927" w:rsidRPr="002B4874" w:rsidRDefault="002B4874" w:rsidP="005172B2">
      <w:pPr>
        <w:pStyle w:val="Styl1"/>
        <w:rPr>
          <w:lang w:val="en-GB"/>
        </w:rPr>
      </w:pPr>
      <w:r>
        <w:rPr>
          <w:lang w:val="en"/>
        </w:rPr>
        <w:t>Creating research tools (“construction of measures”);</w:t>
      </w:r>
    </w:p>
    <w:p w14:paraId="347CAF06" w14:textId="20B396C9" w:rsidR="00262927" w:rsidRPr="002B4874" w:rsidRDefault="002B4874" w:rsidP="005172B2">
      <w:pPr>
        <w:pStyle w:val="Styl1"/>
        <w:rPr>
          <w:lang w:val="en-GB"/>
        </w:rPr>
      </w:pPr>
      <w:r>
        <w:rPr>
          <w:lang w:val="en"/>
        </w:rPr>
        <w:t>Information technology in research work;</w:t>
      </w:r>
    </w:p>
    <w:p w14:paraId="2E534622" w14:textId="24AC616E" w:rsidR="00262927" w:rsidRPr="00F84BA2" w:rsidRDefault="002B4874" w:rsidP="005172B2">
      <w:pPr>
        <w:pStyle w:val="Styl1"/>
      </w:pPr>
      <w:r>
        <w:rPr>
          <w:lang w:val="en"/>
        </w:rPr>
        <w:t>Scientific research in practice;</w:t>
      </w:r>
    </w:p>
    <w:p w14:paraId="4BB64EBB" w14:textId="04228C96" w:rsidR="00262927" w:rsidRPr="00F84BA2" w:rsidRDefault="002B4874" w:rsidP="005172B2">
      <w:pPr>
        <w:pStyle w:val="Styl1"/>
      </w:pPr>
      <w:r>
        <w:rPr>
          <w:lang w:val="en"/>
        </w:rPr>
        <w:t>Project management;</w:t>
      </w:r>
    </w:p>
    <w:p w14:paraId="2BF7479B" w14:textId="3C77FEE1" w:rsidR="00262927" w:rsidRPr="00F84BA2" w:rsidRDefault="002B4874" w:rsidP="005172B2">
      <w:pPr>
        <w:pStyle w:val="Styl1"/>
      </w:pPr>
      <w:r>
        <w:rPr>
          <w:lang w:val="en"/>
        </w:rPr>
        <w:t>Preparation of grant applications;</w:t>
      </w:r>
    </w:p>
    <w:p w14:paraId="4882DFD2" w14:textId="6279D3E7" w:rsidR="00262927" w:rsidRPr="00F84BA2" w:rsidRDefault="002B4874" w:rsidP="005172B2">
      <w:pPr>
        <w:pStyle w:val="Styl1"/>
      </w:pPr>
      <w:r>
        <w:rPr>
          <w:lang w:val="en"/>
        </w:rPr>
        <w:t>Advanced quantitative data analysis;</w:t>
      </w:r>
    </w:p>
    <w:p w14:paraId="5FD16550" w14:textId="76C340C5" w:rsidR="00262927" w:rsidRPr="00F84BA2" w:rsidRDefault="002B4874" w:rsidP="005172B2">
      <w:pPr>
        <w:pStyle w:val="Styl1"/>
      </w:pPr>
      <w:r>
        <w:rPr>
          <w:lang w:val="en"/>
        </w:rPr>
        <w:t>Advanced qualitative data analysis;</w:t>
      </w:r>
    </w:p>
    <w:p w14:paraId="7F2888B9" w14:textId="6794CE6E" w:rsidR="00262927" w:rsidRPr="00F84BA2" w:rsidRDefault="002B4874" w:rsidP="005172B2">
      <w:pPr>
        <w:pStyle w:val="Styl1"/>
      </w:pPr>
      <w:r>
        <w:rPr>
          <w:lang w:val="en"/>
        </w:rPr>
        <w:t>Data visualization and interpretation;</w:t>
      </w:r>
    </w:p>
    <w:p w14:paraId="5112192B" w14:textId="52C03F95" w:rsidR="00262927" w:rsidRPr="00F84BA2" w:rsidRDefault="002B4874" w:rsidP="005172B2">
      <w:pPr>
        <w:pStyle w:val="Styl1"/>
      </w:pPr>
      <w:r>
        <w:rPr>
          <w:lang w:val="en"/>
        </w:rPr>
        <w:t>Communicating scientific results;</w:t>
      </w:r>
    </w:p>
    <w:p w14:paraId="3E5C591E" w14:textId="34540701" w:rsidR="00262927" w:rsidRPr="002B4874" w:rsidRDefault="002B4874" w:rsidP="005172B2">
      <w:pPr>
        <w:pStyle w:val="Styl1"/>
        <w:rPr>
          <w:lang w:val="en-GB"/>
        </w:rPr>
      </w:pPr>
      <w:r>
        <w:rPr>
          <w:lang w:val="en"/>
        </w:rPr>
        <w:t>Techniques of scientific ideas exchange;</w:t>
      </w:r>
    </w:p>
    <w:p w14:paraId="77D3AD36" w14:textId="169D7CF8" w:rsidR="00262927" w:rsidRPr="002B4874" w:rsidRDefault="002B4874" w:rsidP="005172B2">
      <w:pPr>
        <w:pStyle w:val="Styl1"/>
        <w:rPr>
          <w:lang w:val="en-GB"/>
        </w:rPr>
      </w:pPr>
      <w:r>
        <w:rPr>
          <w:lang w:val="en"/>
        </w:rPr>
        <w:t>Intellectual property and commercialization of research results;</w:t>
      </w:r>
    </w:p>
    <w:p w14:paraId="0EA8DE3E" w14:textId="32CFF423" w:rsidR="00262927" w:rsidRPr="00F84BA2" w:rsidRDefault="002B4874" w:rsidP="005172B2">
      <w:pPr>
        <w:pStyle w:val="Styl1"/>
      </w:pPr>
      <w:r>
        <w:rPr>
          <w:lang w:val="en"/>
        </w:rPr>
        <w:t>Ethics of scientific research;</w:t>
      </w:r>
    </w:p>
    <w:p w14:paraId="7F629A1B" w14:textId="6ED5A579" w:rsidR="00262927" w:rsidRPr="00F84BA2" w:rsidRDefault="002B4874" w:rsidP="005172B2">
      <w:pPr>
        <w:pStyle w:val="Styl1"/>
      </w:pPr>
      <w:r>
        <w:rPr>
          <w:lang w:val="en"/>
        </w:rPr>
        <w:t>Reviewing scientific papers.</w:t>
      </w:r>
    </w:p>
    <w:p w14:paraId="04BEF6BF" w14:textId="77777777" w:rsidR="00262927" w:rsidRPr="002B4874" w:rsidRDefault="002B4874" w:rsidP="007B5EB3">
      <w:pPr>
        <w:spacing w:before="240" w:after="240"/>
        <w:jc w:val="both"/>
        <w:outlineLvl w:val="0"/>
        <w:rPr>
          <w:rFonts w:ascii="Times New Roman" w:hAnsi="Times New Roman" w:cs="Times New Roman"/>
          <w:color w:val="auto"/>
          <w:lang w:val="en-GB"/>
        </w:rPr>
      </w:pPr>
      <w:r>
        <w:rPr>
          <w:rFonts w:ascii="Times New Roman" w:hAnsi="Times New Roman" w:cs="Times New Roman"/>
          <w:b/>
          <w:bCs/>
          <w:color w:val="auto"/>
          <w:lang w:val="en"/>
        </w:rPr>
        <w:t>MODULE III. WORK ON SCIENTIFIC ACHIEVEMENTS</w:t>
      </w:r>
    </w:p>
    <w:p w14:paraId="2D0CB775" w14:textId="77777777" w:rsidR="00262927" w:rsidRPr="002B4874" w:rsidRDefault="002B4874" w:rsidP="00A356A0">
      <w:pPr>
        <w:jc w:val="both"/>
        <w:rPr>
          <w:rFonts w:ascii="Times New Roman" w:hAnsi="Times New Roman" w:cs="Times New Roman"/>
          <w:color w:val="auto"/>
          <w:lang w:val="en-GB"/>
        </w:rPr>
      </w:pPr>
      <w:r>
        <w:rPr>
          <w:rFonts w:ascii="Times New Roman" w:hAnsi="Times New Roman" w:cs="Times New Roman"/>
          <w:color w:val="auto"/>
          <w:lang w:val="en"/>
        </w:rPr>
        <w:t>The module is designed to enable collaboration between the doctoral student and the supervisor(s) and other doctoral students, focused on the creation of a doctoral dissertation, which forms the basis for obtaining a doctoral degree.</w:t>
      </w:r>
    </w:p>
    <w:p w14:paraId="5BE6D493" w14:textId="77777777" w:rsidR="00262927" w:rsidRPr="002B4874" w:rsidRDefault="002B4874" w:rsidP="00A356A0">
      <w:pPr>
        <w:jc w:val="both"/>
        <w:rPr>
          <w:rFonts w:ascii="Times New Roman" w:hAnsi="Times New Roman" w:cs="Times New Roman"/>
          <w:color w:val="auto"/>
          <w:lang w:val="en-GB"/>
        </w:rPr>
      </w:pPr>
      <w:r>
        <w:rPr>
          <w:rFonts w:ascii="Times New Roman" w:hAnsi="Times New Roman" w:cs="Times New Roman"/>
          <w:color w:val="auto"/>
          <w:lang w:val="en"/>
        </w:rPr>
        <w:t>Courses conducted in this module include:</w:t>
      </w:r>
    </w:p>
    <w:p w14:paraId="4175F9C6" w14:textId="153A0D18" w:rsidR="00262927" w:rsidRPr="002B4874" w:rsidRDefault="002B4874" w:rsidP="005172B2">
      <w:pPr>
        <w:pStyle w:val="Styl1"/>
        <w:rPr>
          <w:lang w:val="en-GB"/>
        </w:rPr>
      </w:pPr>
      <w:r>
        <w:rPr>
          <w:lang w:val="en"/>
        </w:rPr>
        <w:t>Regular meetings with the supervisor(s) (tutoring);</w:t>
      </w:r>
    </w:p>
    <w:p w14:paraId="65FBE9C2" w14:textId="6F150830" w:rsidR="00262927" w:rsidRPr="002B4874" w:rsidRDefault="002B4874" w:rsidP="005172B2">
      <w:pPr>
        <w:pStyle w:val="Styl1"/>
        <w:rPr>
          <w:lang w:val="en-GB"/>
        </w:rPr>
      </w:pPr>
      <w:r>
        <w:rPr>
          <w:lang w:val="en"/>
        </w:rPr>
        <w:t>Doctoral seminar in the form of discussion meetings focused on the thematic areas of specific disciplines and based on presentations of doctoral dissertation concepts (with the participation of supervisors; open to interested parties).</w:t>
      </w:r>
    </w:p>
    <w:p w14:paraId="0C43A699" w14:textId="14E81BAA" w:rsidR="00262927" w:rsidRPr="002B4874" w:rsidRDefault="002B4874" w:rsidP="005172B2">
      <w:pPr>
        <w:pStyle w:val="Styl1"/>
        <w:rPr>
          <w:lang w:val="en-GB"/>
        </w:rPr>
      </w:pPr>
      <w:r>
        <w:rPr>
          <w:lang w:val="en"/>
        </w:rPr>
        <w:t>Expert mentoring with a selected academic teacher.</w:t>
      </w:r>
    </w:p>
    <w:p w14:paraId="1A5AFD5F" w14:textId="77777777" w:rsidR="00262927" w:rsidRPr="002B4874" w:rsidRDefault="002B4874" w:rsidP="007B5EB3">
      <w:pPr>
        <w:spacing w:before="240" w:after="240"/>
        <w:jc w:val="both"/>
        <w:outlineLvl w:val="0"/>
        <w:rPr>
          <w:rFonts w:ascii="Times New Roman" w:hAnsi="Times New Roman" w:cs="Times New Roman"/>
          <w:color w:val="auto"/>
          <w:lang w:val="en-GB"/>
        </w:rPr>
      </w:pPr>
      <w:r>
        <w:rPr>
          <w:rFonts w:ascii="Times New Roman" w:hAnsi="Times New Roman" w:cs="Times New Roman"/>
          <w:b/>
          <w:bCs/>
          <w:color w:val="auto"/>
          <w:lang w:val="en"/>
        </w:rPr>
        <w:t>MODULE IV. ACADEMIC TEACHING</w:t>
      </w:r>
    </w:p>
    <w:p w14:paraId="2FB6EB6C" w14:textId="77777777" w:rsidR="00262927" w:rsidRPr="002B4874" w:rsidRDefault="002B4874" w:rsidP="00A356A0">
      <w:pPr>
        <w:jc w:val="both"/>
        <w:rPr>
          <w:rFonts w:ascii="Times New Roman" w:hAnsi="Times New Roman" w:cs="Times New Roman"/>
          <w:color w:val="auto"/>
          <w:lang w:val="en-GB"/>
        </w:rPr>
      </w:pPr>
      <w:r>
        <w:rPr>
          <w:rFonts w:ascii="Times New Roman" w:hAnsi="Times New Roman" w:cs="Times New Roman"/>
          <w:color w:val="auto"/>
          <w:lang w:val="en"/>
        </w:rPr>
        <w:t>This module prepares students for the role of an academic teacher, referencing the idea of the Humboldtian university as a place where the unity of learning and teaching, a community of learners and teachers, become a reality.</w:t>
      </w:r>
    </w:p>
    <w:p w14:paraId="177253C5" w14:textId="77777777" w:rsidR="00262927" w:rsidRPr="002B4874" w:rsidRDefault="002B4874" w:rsidP="00A356A0">
      <w:pPr>
        <w:jc w:val="both"/>
        <w:rPr>
          <w:rFonts w:ascii="Times New Roman" w:hAnsi="Times New Roman" w:cs="Times New Roman"/>
          <w:color w:val="auto"/>
          <w:lang w:val="en-GB"/>
        </w:rPr>
      </w:pPr>
      <w:r>
        <w:rPr>
          <w:rFonts w:ascii="Times New Roman" w:hAnsi="Times New Roman" w:cs="Times New Roman"/>
          <w:color w:val="auto"/>
          <w:lang w:val="en"/>
        </w:rPr>
        <w:t>Courses conducted in this module include:</w:t>
      </w:r>
    </w:p>
    <w:p w14:paraId="180475A0" w14:textId="277A16E9" w:rsidR="00262927" w:rsidRPr="002B4874" w:rsidRDefault="002B4874" w:rsidP="005172B2">
      <w:pPr>
        <w:pStyle w:val="Styl1"/>
        <w:rPr>
          <w:lang w:val="en-GB"/>
        </w:rPr>
      </w:pPr>
      <w:r>
        <w:rPr>
          <w:lang w:val="en"/>
        </w:rPr>
        <w:t>University as an organization and educational institution;</w:t>
      </w:r>
    </w:p>
    <w:p w14:paraId="7E21326B" w14:textId="11CDAD6F" w:rsidR="00262927" w:rsidRPr="00F84BA2" w:rsidRDefault="002B4874" w:rsidP="005172B2">
      <w:pPr>
        <w:pStyle w:val="Styl1"/>
      </w:pPr>
      <w:r>
        <w:rPr>
          <w:lang w:val="en"/>
        </w:rPr>
        <w:t>Higher education didactics;</w:t>
      </w:r>
    </w:p>
    <w:p w14:paraId="5A983505" w14:textId="1A832510" w:rsidR="00262927" w:rsidRPr="00F84BA2" w:rsidRDefault="002B4874" w:rsidP="005172B2">
      <w:pPr>
        <w:pStyle w:val="Styl1"/>
      </w:pPr>
      <w:r>
        <w:rPr>
          <w:lang w:val="en"/>
        </w:rPr>
        <w:t>Practice.</w:t>
      </w:r>
    </w:p>
    <w:sectPr w:rsidR="00262927" w:rsidRPr="00F84BA2" w:rsidSect="00A356A0">
      <w:footerReference w:type="default" r:id="rId7"/>
      <w:pgSz w:w="11909" w:h="16840" w:code="9"/>
      <w:pgMar w:top="1418" w:right="1418" w:bottom="1418" w:left="1418"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BCC70" w14:textId="77777777" w:rsidR="00E77FBB" w:rsidRDefault="00E77FBB">
      <w:r>
        <w:separator/>
      </w:r>
    </w:p>
  </w:endnote>
  <w:endnote w:type="continuationSeparator" w:id="0">
    <w:p w14:paraId="5E926BCD" w14:textId="77777777" w:rsidR="00E77FBB" w:rsidRDefault="00E7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color w:val="auto"/>
      </w:rPr>
      <w:id w:val="-765224501"/>
      <w:docPartObj>
        <w:docPartGallery w:val="Page Numbers (Bottom of Page)"/>
        <w:docPartUnique/>
      </w:docPartObj>
    </w:sdtPr>
    <w:sdtEndPr/>
    <w:sdtContent>
      <w:p w14:paraId="583C01F5" w14:textId="29F82E30" w:rsidR="007B5EB3" w:rsidRPr="007B5EB3" w:rsidRDefault="007B5EB3">
        <w:pPr>
          <w:pStyle w:val="Stopka"/>
          <w:jc w:val="right"/>
          <w:rPr>
            <w:rFonts w:ascii="Times New Roman" w:hAnsi="Times New Roman" w:cs="Times New Roman"/>
            <w:color w:val="auto"/>
          </w:rPr>
        </w:pPr>
        <w:r>
          <w:rPr>
            <w:rFonts w:ascii="Times New Roman" w:hAnsi="Times New Roman" w:cs="Times New Roman"/>
            <w:color w:val="auto"/>
            <w:lang w:val="en"/>
          </w:rPr>
          <w:fldChar w:fldCharType="begin"/>
        </w:r>
        <w:r>
          <w:rPr>
            <w:rFonts w:ascii="Times New Roman" w:hAnsi="Times New Roman" w:cs="Times New Roman"/>
            <w:color w:val="auto"/>
            <w:lang w:val="en"/>
          </w:rPr>
          <w:instrText>PAGE   \* MERGEFORMAT</w:instrText>
        </w:r>
        <w:r>
          <w:rPr>
            <w:rFonts w:ascii="Times New Roman" w:hAnsi="Times New Roman" w:cs="Times New Roman"/>
            <w:color w:val="auto"/>
            <w:lang w:val="en"/>
          </w:rPr>
          <w:fldChar w:fldCharType="separate"/>
        </w:r>
        <w:r>
          <w:rPr>
            <w:rFonts w:ascii="Times New Roman" w:hAnsi="Times New Roman" w:cs="Times New Roman"/>
            <w:color w:val="auto"/>
            <w:lang w:val="en"/>
          </w:rPr>
          <w:t>2</w:t>
        </w:r>
        <w:r>
          <w:rPr>
            <w:rFonts w:ascii="Times New Roman" w:hAnsi="Times New Roman" w:cs="Times New Roman"/>
            <w:color w:val="auto"/>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0A4F40" w14:textId="77777777" w:rsidR="00E77FBB" w:rsidRDefault="00E77FBB"/>
  </w:footnote>
  <w:footnote w:type="continuationSeparator" w:id="0">
    <w:p w14:paraId="201B3E0D" w14:textId="77777777" w:rsidR="00E77FBB" w:rsidRDefault="00E77F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85092"/>
    <w:multiLevelType w:val="hybridMultilevel"/>
    <w:tmpl w:val="9712FF00"/>
    <w:lvl w:ilvl="0" w:tplc="26389996">
      <w:start w:val="1"/>
      <w:numFmt w:val="bullet"/>
      <w:pStyle w:val="Styl1"/>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43065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927"/>
    <w:rsid w:val="00262927"/>
    <w:rsid w:val="002B4874"/>
    <w:rsid w:val="003B6827"/>
    <w:rsid w:val="005172B2"/>
    <w:rsid w:val="007B5EB3"/>
    <w:rsid w:val="00A356A0"/>
    <w:rsid w:val="00C7694C"/>
    <w:rsid w:val="00E77FBB"/>
    <w:rsid w:val="00F84B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DC10F"/>
  <w15:docId w15:val="{C9B4F36E-EEC1-4DC1-B2E8-6B0375EC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paragraph" w:styleId="Nagwek">
    <w:name w:val="header"/>
    <w:basedOn w:val="Normalny"/>
    <w:link w:val="NagwekZnak"/>
    <w:uiPriority w:val="99"/>
    <w:unhideWhenUsed/>
    <w:rsid w:val="007B5EB3"/>
    <w:pPr>
      <w:tabs>
        <w:tab w:val="center" w:pos="4536"/>
        <w:tab w:val="right" w:pos="9072"/>
      </w:tabs>
    </w:pPr>
  </w:style>
  <w:style w:type="character" w:customStyle="1" w:styleId="NagwekZnak">
    <w:name w:val="Nagłówek Znak"/>
    <w:basedOn w:val="Domylnaczcionkaakapitu"/>
    <w:link w:val="Nagwek"/>
    <w:uiPriority w:val="99"/>
    <w:rsid w:val="007B5EB3"/>
    <w:rPr>
      <w:color w:val="000000"/>
    </w:rPr>
  </w:style>
  <w:style w:type="paragraph" w:styleId="Stopka">
    <w:name w:val="footer"/>
    <w:basedOn w:val="Normalny"/>
    <w:link w:val="StopkaZnak"/>
    <w:uiPriority w:val="99"/>
    <w:unhideWhenUsed/>
    <w:rsid w:val="007B5EB3"/>
    <w:pPr>
      <w:tabs>
        <w:tab w:val="center" w:pos="4536"/>
        <w:tab w:val="right" w:pos="9072"/>
      </w:tabs>
    </w:pPr>
  </w:style>
  <w:style w:type="character" w:customStyle="1" w:styleId="StopkaZnak">
    <w:name w:val="Stopka Znak"/>
    <w:basedOn w:val="Domylnaczcionkaakapitu"/>
    <w:link w:val="Stopka"/>
    <w:uiPriority w:val="99"/>
    <w:rsid w:val="007B5EB3"/>
    <w:rPr>
      <w:color w:val="000000"/>
    </w:rPr>
  </w:style>
  <w:style w:type="paragraph" w:styleId="Akapitzlist">
    <w:name w:val="List Paragraph"/>
    <w:basedOn w:val="Normalny"/>
    <w:link w:val="AkapitzlistZnak"/>
    <w:uiPriority w:val="34"/>
    <w:qFormat/>
    <w:rsid w:val="005172B2"/>
    <w:pPr>
      <w:ind w:left="720"/>
      <w:contextualSpacing/>
    </w:pPr>
  </w:style>
  <w:style w:type="paragraph" w:customStyle="1" w:styleId="Styl1">
    <w:name w:val="Styl1"/>
    <w:basedOn w:val="Akapitzlist"/>
    <w:link w:val="Styl1Znak"/>
    <w:qFormat/>
    <w:rsid w:val="005172B2"/>
    <w:pPr>
      <w:numPr>
        <w:numId w:val="1"/>
      </w:numPr>
      <w:ind w:left="851" w:hanging="425"/>
      <w:jc w:val="both"/>
    </w:pPr>
    <w:rPr>
      <w:rFonts w:ascii="Times New Roman" w:hAnsi="Times New Roman" w:cs="Times New Roman"/>
      <w:color w:val="auto"/>
    </w:rPr>
  </w:style>
  <w:style w:type="character" w:customStyle="1" w:styleId="AkapitzlistZnak">
    <w:name w:val="Akapit z listą Znak"/>
    <w:basedOn w:val="Domylnaczcionkaakapitu"/>
    <w:link w:val="Akapitzlist"/>
    <w:uiPriority w:val="34"/>
    <w:rsid w:val="005172B2"/>
    <w:rPr>
      <w:color w:val="000000"/>
    </w:rPr>
  </w:style>
  <w:style w:type="character" w:customStyle="1" w:styleId="Styl1Znak">
    <w:name w:val="Styl1 Znak"/>
    <w:basedOn w:val="AkapitzlistZnak"/>
    <w:link w:val="Styl1"/>
    <w:rsid w:val="005172B2"/>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3841</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Zalacznik_1_Uchwala_524_2023</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Zalacznik_1_Uchwala_524_2023</dc:title>
  <dc:subject/>
  <dc:creator>Artur Szalon</dc:creator>
  <cp:keywords/>
  <cp:lastModifiedBy>Patrycja Stachula</cp:lastModifiedBy>
  <cp:revision>4</cp:revision>
  <dcterms:created xsi:type="dcterms:W3CDTF">2024-10-23T22:48:00Z</dcterms:created>
  <dcterms:modified xsi:type="dcterms:W3CDTF">2025-01-10T10:42:00Z</dcterms:modified>
</cp:coreProperties>
</file>