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F136" w14:textId="77777777" w:rsidR="006F010C" w:rsidRPr="0040647D" w:rsidRDefault="0040647D" w:rsidP="006F010C">
      <w:pPr>
        <w:spacing w:line="276" w:lineRule="auto"/>
        <w:jc w:val="right"/>
        <w:rPr>
          <w:rFonts w:ascii="Times New Roman" w:hAnsi="Times New Roman" w:cs="Times New Roman"/>
          <w:color w:val="auto"/>
          <w:sz w:val="18"/>
          <w:szCs w:val="18"/>
          <w:lang w:val="en-US"/>
        </w:rPr>
      </w:pPr>
      <w:r w:rsidRPr="0040647D">
        <w:rPr>
          <w:rFonts w:ascii="Times New Roman" w:hAnsi="Times New Roman" w:cs="Times New Roman"/>
          <w:color w:val="auto"/>
          <w:sz w:val="18"/>
          <w:szCs w:val="18"/>
          <w:lang w:val="en-US"/>
        </w:rPr>
        <w:t>Appendix No. 2 to Resolution No. 277/2020</w:t>
      </w:r>
    </w:p>
    <w:p w14:paraId="7443573D" w14:textId="77777777" w:rsidR="006F010C" w:rsidRPr="0040647D" w:rsidRDefault="0040647D" w:rsidP="006F010C">
      <w:pPr>
        <w:spacing w:line="276" w:lineRule="auto"/>
        <w:jc w:val="right"/>
        <w:rPr>
          <w:rFonts w:ascii="Times New Roman" w:hAnsi="Times New Roman" w:cs="Times New Roman"/>
          <w:color w:val="auto"/>
          <w:sz w:val="18"/>
          <w:szCs w:val="18"/>
          <w:lang w:val="en-US"/>
        </w:rPr>
      </w:pPr>
      <w:r w:rsidRPr="0040647D">
        <w:rPr>
          <w:rFonts w:ascii="Times New Roman" w:hAnsi="Times New Roman" w:cs="Times New Roman"/>
          <w:color w:val="auto"/>
          <w:sz w:val="18"/>
          <w:szCs w:val="18"/>
          <w:lang w:val="en-US"/>
        </w:rPr>
        <w:t>of 29 January 2020</w:t>
      </w:r>
    </w:p>
    <w:p w14:paraId="55C2BBCC" w14:textId="2D18E5F9" w:rsidR="001D6273" w:rsidRPr="0040647D" w:rsidRDefault="0040647D" w:rsidP="00BE07AA">
      <w:pPr>
        <w:spacing w:line="276" w:lineRule="auto"/>
        <w:jc w:val="right"/>
        <w:rPr>
          <w:rFonts w:ascii="Times New Roman" w:hAnsi="Times New Roman" w:cs="Times New Roman"/>
          <w:color w:val="auto"/>
          <w:sz w:val="18"/>
          <w:szCs w:val="18"/>
          <w:lang w:val="en-US"/>
        </w:rPr>
      </w:pPr>
      <w:r w:rsidRPr="0040647D">
        <w:rPr>
          <w:rFonts w:ascii="Times New Roman" w:hAnsi="Times New Roman" w:cs="Times New Roman"/>
          <w:color w:val="auto"/>
          <w:sz w:val="18"/>
          <w:szCs w:val="18"/>
          <w:lang w:val="en-US"/>
        </w:rPr>
        <w:t xml:space="preserve">Senate of the Maria Grzegorzewska </w:t>
      </w:r>
      <w:r w:rsidR="00BE07AA">
        <w:rPr>
          <w:rFonts w:ascii="Times New Roman" w:hAnsi="Times New Roman" w:cs="Times New Roman"/>
          <w:color w:val="auto"/>
          <w:sz w:val="18"/>
          <w:szCs w:val="18"/>
          <w:lang w:val="en-US"/>
        </w:rPr>
        <w:t>University</w:t>
      </w:r>
    </w:p>
    <w:p w14:paraId="2AAB62F8" w14:textId="77777777" w:rsidR="001D6273" w:rsidRPr="0040647D" w:rsidRDefault="0040647D" w:rsidP="00663387">
      <w:pPr>
        <w:spacing w:before="240" w:line="276" w:lineRule="auto"/>
        <w:ind w:left="1134" w:right="1134"/>
        <w:jc w:val="center"/>
        <w:rPr>
          <w:rFonts w:ascii="Times New Roman" w:hAnsi="Times New Roman" w:cs="Times New Roman"/>
          <w:color w:val="auto"/>
          <w:sz w:val="22"/>
          <w:szCs w:val="22"/>
          <w:lang w:val="en-US"/>
        </w:rPr>
      </w:pPr>
      <w:r w:rsidRPr="0040647D">
        <w:rPr>
          <w:rFonts w:ascii="Times New Roman" w:hAnsi="Times New Roman" w:cs="Times New Roman"/>
          <w:b/>
          <w:bCs/>
          <w:color w:val="auto"/>
          <w:sz w:val="22"/>
          <w:szCs w:val="22"/>
          <w:lang w:val="en-US"/>
        </w:rPr>
        <w:t>Rules for calculating recruitment points in the qualification</w:t>
      </w:r>
      <w:r w:rsidRPr="0040647D">
        <w:rPr>
          <w:rFonts w:ascii="Times New Roman" w:hAnsi="Times New Roman" w:cs="Times New Roman"/>
          <w:color w:val="auto"/>
          <w:sz w:val="22"/>
          <w:szCs w:val="22"/>
          <w:lang w:val="en-US"/>
        </w:rPr>
        <w:t xml:space="preserve"> </w:t>
      </w:r>
      <w:r w:rsidRPr="0040647D">
        <w:rPr>
          <w:rFonts w:ascii="Times New Roman" w:hAnsi="Times New Roman" w:cs="Times New Roman"/>
          <w:b/>
          <w:bCs/>
          <w:color w:val="auto"/>
          <w:sz w:val="22"/>
          <w:szCs w:val="22"/>
          <w:lang w:val="en-US"/>
        </w:rPr>
        <w:t>procedure for the Doctoral School managed by</w:t>
      </w:r>
    </w:p>
    <w:p w14:paraId="0C00801D" w14:textId="2FF12CC9" w:rsidR="001D6273" w:rsidRPr="0040647D" w:rsidRDefault="0040647D" w:rsidP="00663387">
      <w:pPr>
        <w:spacing w:after="480" w:line="276" w:lineRule="auto"/>
        <w:ind w:left="1134" w:right="1134"/>
        <w:jc w:val="center"/>
        <w:rPr>
          <w:rFonts w:ascii="Times New Roman" w:hAnsi="Times New Roman" w:cs="Times New Roman"/>
          <w:color w:val="auto"/>
          <w:sz w:val="22"/>
          <w:szCs w:val="22"/>
          <w:lang w:val="en-US"/>
        </w:rPr>
      </w:pPr>
      <w:r w:rsidRPr="0040647D">
        <w:rPr>
          <w:rFonts w:ascii="Times New Roman" w:hAnsi="Times New Roman" w:cs="Times New Roman"/>
          <w:b/>
          <w:bCs/>
          <w:color w:val="auto"/>
          <w:sz w:val="22"/>
          <w:szCs w:val="22"/>
          <w:lang w:val="en-US"/>
        </w:rPr>
        <w:t xml:space="preserve">the Maria Grzegorzewska </w:t>
      </w:r>
      <w:r w:rsidR="00BE07AA">
        <w:rPr>
          <w:rFonts w:ascii="Times New Roman" w:hAnsi="Times New Roman" w:cs="Times New Roman"/>
          <w:b/>
          <w:bCs/>
          <w:color w:val="auto"/>
          <w:sz w:val="22"/>
          <w:szCs w:val="22"/>
          <w:lang w:val="en-US"/>
        </w:rPr>
        <w:t>University</w:t>
      </w:r>
      <w:r w:rsidRPr="0040647D">
        <w:rPr>
          <w:rFonts w:ascii="Times New Roman" w:hAnsi="Times New Roman" w:cs="Times New Roman"/>
          <w:b/>
          <w:bCs/>
          <w:color w:val="auto"/>
          <w:sz w:val="22"/>
          <w:szCs w:val="22"/>
          <w:lang w:val="en-US"/>
        </w:rPr>
        <w:t xml:space="preserve"> for the 2019/2020 academic year</w:t>
      </w:r>
    </w:p>
    <w:p w14:paraId="0A3F9EF9" w14:textId="6DB067A5" w:rsidR="001D6273" w:rsidRPr="0040647D" w:rsidRDefault="0040647D" w:rsidP="00663387">
      <w:pPr>
        <w:spacing w:line="276" w:lineRule="auto"/>
        <w:ind w:left="425" w:hanging="425"/>
        <w:jc w:val="both"/>
        <w:rPr>
          <w:rFonts w:ascii="Times New Roman" w:hAnsi="Times New Roman" w:cs="Times New Roman"/>
          <w:color w:val="auto"/>
          <w:sz w:val="22"/>
          <w:szCs w:val="22"/>
          <w:lang w:val="en-US"/>
        </w:rPr>
      </w:pPr>
      <w:bookmarkStart w:id="0" w:name="bookmark0"/>
      <w:r w:rsidRPr="0040647D">
        <w:rPr>
          <w:rFonts w:ascii="Times New Roman" w:hAnsi="Times New Roman" w:cs="Times New Roman"/>
          <w:color w:val="auto"/>
          <w:sz w:val="22"/>
          <w:szCs w:val="22"/>
          <w:shd w:val="clear" w:color="auto" w:fill="FFFFFF"/>
          <w:lang w:val="en-US"/>
        </w:rPr>
        <w:t>1</w:t>
      </w:r>
      <w:bookmarkEnd w:id="0"/>
      <w:r w:rsidRPr="0040647D">
        <w:rPr>
          <w:rFonts w:ascii="Times New Roman" w:hAnsi="Times New Roman" w:cs="Times New Roman"/>
          <w:color w:val="auto"/>
          <w:sz w:val="22"/>
          <w:szCs w:val="22"/>
          <w:shd w:val="clear" w:color="auto" w:fill="FFFFFF"/>
          <w:lang w:val="en-US"/>
        </w:rPr>
        <w:t>.</w:t>
      </w:r>
      <w:r w:rsidRPr="0040647D">
        <w:rPr>
          <w:rFonts w:ascii="Times New Roman" w:hAnsi="Times New Roman" w:cs="Times New Roman"/>
          <w:color w:val="auto"/>
          <w:sz w:val="22"/>
          <w:szCs w:val="22"/>
          <w:lang w:val="en-US"/>
        </w:rPr>
        <w:tab/>
        <w:t xml:space="preserve">Candidates applying for admission to the Doctoral School managed by the Maria Grzegorzewska </w:t>
      </w:r>
      <w:r w:rsidR="00BE07AA">
        <w:rPr>
          <w:rFonts w:ascii="Times New Roman" w:hAnsi="Times New Roman" w:cs="Times New Roman"/>
          <w:color w:val="auto"/>
          <w:sz w:val="22"/>
          <w:szCs w:val="22"/>
          <w:lang w:val="en-US"/>
        </w:rPr>
        <w:t>University</w:t>
      </w:r>
      <w:r w:rsidRPr="0040647D">
        <w:rPr>
          <w:rFonts w:ascii="Times New Roman" w:hAnsi="Times New Roman" w:cs="Times New Roman"/>
          <w:color w:val="auto"/>
          <w:sz w:val="22"/>
          <w:szCs w:val="22"/>
          <w:lang w:val="en-US"/>
        </w:rPr>
        <w:t xml:space="preserve"> obtain recruitment points in the qualification procedure for:</w:t>
      </w:r>
    </w:p>
    <w:p w14:paraId="45C2600B" w14:textId="77777777" w:rsidR="001D6273" w:rsidRPr="0040647D" w:rsidRDefault="0040647D" w:rsidP="00663387">
      <w:pPr>
        <w:spacing w:line="276" w:lineRule="auto"/>
        <w:ind w:left="1276" w:hanging="425"/>
        <w:jc w:val="both"/>
        <w:rPr>
          <w:rFonts w:ascii="Times New Roman" w:hAnsi="Times New Roman" w:cs="Times New Roman"/>
          <w:color w:val="auto"/>
          <w:sz w:val="22"/>
          <w:szCs w:val="22"/>
          <w:lang w:val="en-US"/>
        </w:rPr>
      </w:pPr>
      <w:bookmarkStart w:id="1" w:name="bookmark1"/>
      <w:r w:rsidRPr="0040647D">
        <w:rPr>
          <w:rFonts w:ascii="Times New Roman" w:hAnsi="Times New Roman" w:cs="Times New Roman"/>
          <w:color w:val="auto"/>
          <w:sz w:val="22"/>
          <w:szCs w:val="22"/>
          <w:lang w:val="en-US"/>
        </w:rPr>
        <w:t>1</w:t>
      </w:r>
      <w:bookmarkEnd w:id="1"/>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r>
      <w:r w:rsidRPr="0040647D">
        <w:rPr>
          <w:rFonts w:ascii="Times New Roman" w:hAnsi="Times New Roman" w:cs="Times New Roman"/>
          <w:b/>
          <w:bCs/>
          <w:color w:val="auto"/>
          <w:sz w:val="22"/>
          <w:szCs w:val="22"/>
          <w:lang w:val="en-US"/>
        </w:rPr>
        <w:t xml:space="preserve">grade point average </w:t>
      </w:r>
      <w:r w:rsidRPr="0040647D">
        <w:rPr>
          <w:rFonts w:ascii="Times New Roman" w:hAnsi="Times New Roman" w:cs="Times New Roman"/>
          <w:color w:val="auto"/>
          <w:sz w:val="22"/>
          <w:szCs w:val="22"/>
          <w:lang w:val="en-US"/>
        </w:rPr>
        <w:t>for second-cycle studies or uniform master’s studies or for studies completed abroad, recognized as equivalent to second-cycle studies or uniform master’s studies (excluding grades for diploma exams), with points calculated as follows:</w:t>
      </w:r>
    </w:p>
    <w:p w14:paraId="4CEB5891" w14:textId="77777777" w:rsidR="001D6273" w:rsidRPr="0040647D" w:rsidRDefault="0040647D" w:rsidP="00B575FB">
      <w:pPr>
        <w:spacing w:line="276" w:lineRule="auto"/>
        <w:ind w:left="1276"/>
        <w:jc w:val="both"/>
        <w:rPr>
          <w:rFonts w:ascii="Times New Roman" w:hAnsi="Times New Roman" w:cs="Times New Roman"/>
          <w:color w:val="auto"/>
          <w:sz w:val="22"/>
          <w:szCs w:val="22"/>
          <w:lang w:val="en-US"/>
        </w:rPr>
      </w:pPr>
      <w:r w:rsidRPr="0040647D">
        <w:rPr>
          <w:rFonts w:ascii="Times New Roman" w:hAnsi="Times New Roman" w:cs="Times New Roman"/>
          <w:color w:val="auto"/>
          <w:sz w:val="22"/>
          <w:szCs w:val="22"/>
          <w:lang w:val="en-US"/>
        </w:rPr>
        <w:t>2.01 - 3.00 – 1 point;</w:t>
      </w:r>
    </w:p>
    <w:p w14:paraId="7BB192F5" w14:textId="77777777" w:rsidR="001D6273" w:rsidRPr="0040647D" w:rsidRDefault="0040647D" w:rsidP="00B575FB">
      <w:pPr>
        <w:spacing w:line="276" w:lineRule="auto"/>
        <w:ind w:left="1276"/>
        <w:jc w:val="both"/>
        <w:rPr>
          <w:rFonts w:ascii="Times New Roman" w:hAnsi="Times New Roman" w:cs="Times New Roman"/>
          <w:color w:val="auto"/>
          <w:sz w:val="22"/>
          <w:szCs w:val="22"/>
          <w:lang w:val="en-US"/>
        </w:rPr>
      </w:pPr>
      <w:r w:rsidRPr="0040647D">
        <w:rPr>
          <w:rFonts w:ascii="Times New Roman" w:hAnsi="Times New Roman" w:cs="Times New Roman"/>
          <w:color w:val="auto"/>
          <w:sz w:val="22"/>
          <w:szCs w:val="22"/>
          <w:lang w:val="en-US"/>
        </w:rPr>
        <w:t>3.01 - 4.00 – 2 points;</w:t>
      </w:r>
    </w:p>
    <w:p w14:paraId="665FAA80" w14:textId="77777777" w:rsidR="001D6273" w:rsidRPr="0040647D" w:rsidRDefault="0040647D" w:rsidP="00B575FB">
      <w:pPr>
        <w:spacing w:line="276" w:lineRule="auto"/>
        <w:ind w:left="1276"/>
        <w:jc w:val="both"/>
        <w:rPr>
          <w:rFonts w:ascii="Times New Roman" w:hAnsi="Times New Roman" w:cs="Times New Roman"/>
          <w:color w:val="auto"/>
          <w:sz w:val="22"/>
          <w:szCs w:val="22"/>
          <w:lang w:val="en-US"/>
        </w:rPr>
      </w:pPr>
      <w:r w:rsidRPr="0040647D">
        <w:rPr>
          <w:rFonts w:ascii="Times New Roman" w:hAnsi="Times New Roman" w:cs="Times New Roman"/>
          <w:color w:val="auto"/>
          <w:sz w:val="22"/>
          <w:szCs w:val="22"/>
          <w:lang w:val="en-US"/>
        </w:rPr>
        <w:t>4.01 - 4.50 – 3 points;</w:t>
      </w:r>
    </w:p>
    <w:p w14:paraId="7F1CE71C" w14:textId="77777777" w:rsidR="001D6273" w:rsidRPr="0040647D" w:rsidRDefault="0040647D" w:rsidP="00B575FB">
      <w:pPr>
        <w:spacing w:line="276" w:lineRule="auto"/>
        <w:ind w:left="1276"/>
        <w:jc w:val="both"/>
        <w:rPr>
          <w:rFonts w:ascii="Times New Roman" w:hAnsi="Times New Roman" w:cs="Times New Roman"/>
          <w:color w:val="auto"/>
          <w:sz w:val="22"/>
          <w:szCs w:val="22"/>
          <w:lang w:val="en-US"/>
        </w:rPr>
      </w:pPr>
      <w:r w:rsidRPr="0040647D">
        <w:rPr>
          <w:rFonts w:ascii="Times New Roman" w:hAnsi="Times New Roman" w:cs="Times New Roman"/>
          <w:color w:val="auto"/>
          <w:sz w:val="22"/>
          <w:szCs w:val="22"/>
          <w:lang w:val="en-US"/>
        </w:rPr>
        <w:t>4.51 - 5.00 – 4 points.</w:t>
      </w:r>
    </w:p>
    <w:p w14:paraId="12DB0B9F" w14:textId="77777777" w:rsidR="001D6273" w:rsidRPr="0040647D" w:rsidRDefault="0040647D" w:rsidP="00663387">
      <w:pPr>
        <w:spacing w:line="276" w:lineRule="auto"/>
        <w:ind w:left="1276" w:hanging="425"/>
        <w:jc w:val="both"/>
        <w:outlineLvl w:val="0"/>
        <w:rPr>
          <w:rFonts w:ascii="Times New Roman" w:hAnsi="Times New Roman" w:cs="Times New Roman"/>
          <w:color w:val="auto"/>
          <w:sz w:val="22"/>
          <w:szCs w:val="22"/>
          <w:lang w:val="en-US"/>
        </w:rPr>
      </w:pPr>
      <w:bookmarkStart w:id="2" w:name="bookmark3"/>
      <w:bookmarkStart w:id="3" w:name="bookmark2"/>
      <w:bookmarkStart w:id="4" w:name="bookmark4"/>
      <w:r w:rsidRPr="0040647D">
        <w:rPr>
          <w:rFonts w:ascii="Times New Roman" w:hAnsi="Times New Roman" w:cs="Times New Roman"/>
          <w:color w:val="auto"/>
          <w:sz w:val="22"/>
          <w:szCs w:val="22"/>
          <w:lang w:val="en-US"/>
        </w:rPr>
        <w:t>2</w:t>
      </w:r>
      <w:bookmarkEnd w:id="2"/>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r>
      <w:r w:rsidRPr="0040647D">
        <w:rPr>
          <w:rFonts w:ascii="Times New Roman" w:hAnsi="Times New Roman" w:cs="Times New Roman"/>
          <w:b/>
          <w:bCs/>
          <w:color w:val="auto"/>
          <w:sz w:val="22"/>
          <w:szCs w:val="22"/>
          <w:lang w:val="en-US"/>
        </w:rPr>
        <w:t>evaluation of the candidate’s own research project according to the following criteria:</w:t>
      </w:r>
      <w:bookmarkEnd w:id="3"/>
      <w:bookmarkEnd w:id="4"/>
    </w:p>
    <w:p w14:paraId="78597C58"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5" w:name="bookmark5"/>
      <w:r w:rsidRPr="0040647D">
        <w:rPr>
          <w:rFonts w:ascii="Times New Roman" w:hAnsi="Times New Roman" w:cs="Times New Roman"/>
          <w:color w:val="auto"/>
          <w:sz w:val="22"/>
          <w:szCs w:val="22"/>
          <w:lang w:val="en-US"/>
        </w:rPr>
        <w:t>a</w:t>
      </w:r>
      <w:bookmarkEnd w:id="5"/>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scientific level and methodological correctness of the project – no more than 18 points;</w:t>
      </w:r>
    </w:p>
    <w:p w14:paraId="1C0434E8"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6" w:name="bookmark6"/>
      <w:r w:rsidRPr="0040647D">
        <w:rPr>
          <w:rFonts w:ascii="Times New Roman" w:hAnsi="Times New Roman" w:cs="Times New Roman"/>
          <w:color w:val="auto"/>
          <w:sz w:val="22"/>
          <w:szCs w:val="22"/>
          <w:lang w:val="en-US"/>
        </w:rPr>
        <w:t>b</w:t>
      </w:r>
      <w:bookmarkEnd w:id="6"/>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evaluation of project novelty – no more than 8 points;</w:t>
      </w:r>
    </w:p>
    <w:p w14:paraId="686E6259"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7" w:name="bookmark7"/>
      <w:r w:rsidRPr="0040647D">
        <w:rPr>
          <w:rFonts w:ascii="Times New Roman" w:hAnsi="Times New Roman" w:cs="Times New Roman"/>
          <w:color w:val="auto"/>
          <w:sz w:val="22"/>
          <w:szCs w:val="22"/>
          <w:lang w:val="en-US"/>
        </w:rPr>
        <w:t>c</w:t>
      </w:r>
      <w:bookmarkEnd w:id="7"/>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impact of project implementation on the development of the scientific discipline – no more than 5 points;</w:t>
      </w:r>
    </w:p>
    <w:p w14:paraId="6DBFE7C4"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8" w:name="bookmark8"/>
      <w:r w:rsidRPr="0040647D">
        <w:rPr>
          <w:rFonts w:ascii="Times New Roman" w:hAnsi="Times New Roman" w:cs="Times New Roman"/>
          <w:color w:val="auto"/>
          <w:sz w:val="22"/>
          <w:szCs w:val="22"/>
          <w:lang w:val="en-US"/>
        </w:rPr>
        <w:t>d</w:t>
      </w:r>
      <w:bookmarkEnd w:id="8"/>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evaluation of the feasibility of project implementation according to the proposed assumptions – no more than 5 points.</w:t>
      </w:r>
    </w:p>
    <w:p w14:paraId="762B3892" w14:textId="7CEF596F" w:rsidR="001D6273" w:rsidRPr="0040647D" w:rsidRDefault="0040647D" w:rsidP="00B575FB">
      <w:pPr>
        <w:spacing w:line="276" w:lineRule="auto"/>
        <w:ind w:left="1276"/>
        <w:jc w:val="both"/>
        <w:rPr>
          <w:rFonts w:ascii="Times New Roman" w:hAnsi="Times New Roman" w:cs="Times New Roman"/>
          <w:color w:val="auto"/>
          <w:sz w:val="22"/>
          <w:szCs w:val="22"/>
          <w:lang w:val="en-US"/>
        </w:rPr>
      </w:pPr>
      <w:bookmarkStart w:id="9" w:name="bookmark9"/>
      <w:r w:rsidRPr="0040647D">
        <w:rPr>
          <w:rFonts w:ascii="Times New Roman" w:hAnsi="Times New Roman" w:cs="Times New Roman"/>
          <w:color w:val="auto"/>
          <w:sz w:val="22"/>
          <w:szCs w:val="22"/>
          <w:lang w:val="en-US"/>
        </w:rPr>
        <w:t>-</w:t>
      </w:r>
      <w:bookmarkEnd w:id="9"/>
      <w:r w:rsidRPr="0040647D">
        <w:rPr>
          <w:rFonts w:ascii="Times New Roman" w:hAnsi="Times New Roman" w:cs="Times New Roman"/>
          <w:color w:val="auto"/>
          <w:sz w:val="22"/>
          <w:szCs w:val="22"/>
          <w:lang w:val="en-US"/>
        </w:rPr>
        <w:t xml:space="preserve"> the total number of points awarded for the evaluation of the candidate’s own research project must not exceed 36 points.</w:t>
      </w:r>
    </w:p>
    <w:p w14:paraId="7326284E" w14:textId="77777777" w:rsidR="001D6273" w:rsidRPr="0040647D" w:rsidRDefault="0040647D" w:rsidP="00663387">
      <w:pPr>
        <w:spacing w:line="276" w:lineRule="auto"/>
        <w:ind w:left="1276" w:hanging="425"/>
        <w:jc w:val="both"/>
        <w:outlineLvl w:val="0"/>
        <w:rPr>
          <w:rFonts w:ascii="Times New Roman" w:hAnsi="Times New Roman" w:cs="Times New Roman"/>
          <w:color w:val="auto"/>
          <w:sz w:val="22"/>
          <w:szCs w:val="22"/>
          <w:lang w:val="en-US"/>
        </w:rPr>
      </w:pPr>
      <w:bookmarkStart w:id="10" w:name="bookmark11"/>
      <w:bookmarkStart w:id="11" w:name="bookmark10"/>
      <w:bookmarkStart w:id="12" w:name="bookmark12"/>
      <w:r w:rsidRPr="0040647D">
        <w:rPr>
          <w:rFonts w:ascii="Times New Roman" w:hAnsi="Times New Roman" w:cs="Times New Roman"/>
          <w:color w:val="auto"/>
          <w:sz w:val="22"/>
          <w:szCs w:val="22"/>
          <w:lang w:val="en-US"/>
        </w:rPr>
        <w:t>3</w:t>
      </w:r>
      <w:bookmarkEnd w:id="10"/>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r>
      <w:r w:rsidRPr="0040647D">
        <w:rPr>
          <w:rFonts w:ascii="Times New Roman" w:hAnsi="Times New Roman" w:cs="Times New Roman"/>
          <w:b/>
          <w:bCs/>
          <w:color w:val="auto"/>
          <w:sz w:val="22"/>
          <w:szCs w:val="22"/>
          <w:lang w:val="en-US"/>
        </w:rPr>
        <w:t>scientific achievements according to the following criteria</w:t>
      </w:r>
      <w:r w:rsidRPr="0040647D">
        <w:rPr>
          <w:rFonts w:ascii="Times New Roman" w:hAnsi="Times New Roman" w:cs="Times New Roman"/>
          <w:color w:val="auto"/>
          <w:sz w:val="22"/>
          <w:szCs w:val="22"/>
          <w:lang w:val="en-US"/>
        </w:rPr>
        <w:t>:</w:t>
      </w:r>
      <w:bookmarkEnd w:id="11"/>
      <w:bookmarkEnd w:id="12"/>
    </w:p>
    <w:p w14:paraId="19E52E80"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13" w:name="bookmark13"/>
      <w:r w:rsidRPr="0040647D">
        <w:rPr>
          <w:rFonts w:ascii="Times New Roman" w:hAnsi="Times New Roman" w:cs="Times New Roman"/>
          <w:color w:val="auto"/>
          <w:sz w:val="22"/>
          <w:szCs w:val="22"/>
          <w:lang w:val="en-US"/>
        </w:rPr>
        <w:t>a</w:t>
      </w:r>
      <w:bookmarkEnd w:id="13"/>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articles published or accepted for publication in peer-reviewed journals included in the list of scored journals of the Ministry of Science and Higher Education, with an index of over 100 points – 3 points each; with an index of less than 100 points – 2 points each, but no more than 6 points in total,</w:t>
      </w:r>
    </w:p>
    <w:p w14:paraId="0835A937"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14" w:name="bookmark14"/>
      <w:r w:rsidRPr="0040647D">
        <w:rPr>
          <w:rFonts w:ascii="Times New Roman" w:hAnsi="Times New Roman" w:cs="Times New Roman"/>
          <w:color w:val="auto"/>
          <w:sz w:val="22"/>
          <w:szCs w:val="22"/>
          <w:lang w:val="en-US"/>
        </w:rPr>
        <w:t>b</w:t>
      </w:r>
      <w:bookmarkEnd w:id="14"/>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monographs (3 points) or edited monographs (2 points) (including chapters in monographs with 200-300 points), with a total of no more than 6 points,</w:t>
      </w:r>
    </w:p>
    <w:p w14:paraId="0DA945C0"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15" w:name="bookmark15"/>
      <w:r w:rsidRPr="0040647D">
        <w:rPr>
          <w:rFonts w:ascii="Times New Roman" w:hAnsi="Times New Roman" w:cs="Times New Roman"/>
          <w:color w:val="auto"/>
          <w:sz w:val="22"/>
          <w:szCs w:val="22"/>
          <w:lang w:val="en-US"/>
        </w:rPr>
        <w:t>c</w:t>
      </w:r>
      <w:bookmarkEnd w:id="15"/>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awards won at national or international conferences of student scientific associations or other scientific associations, rector’s awards for outstanding students and graduates, ministerial awards – 1 point each, with a total of no more than 3 points,</w:t>
      </w:r>
    </w:p>
    <w:p w14:paraId="44FC76AB" w14:textId="04C87E3A"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16" w:name="bookmark16"/>
      <w:r w:rsidRPr="0040647D">
        <w:rPr>
          <w:rFonts w:ascii="Times New Roman" w:hAnsi="Times New Roman" w:cs="Times New Roman"/>
          <w:color w:val="auto"/>
          <w:sz w:val="22"/>
          <w:szCs w:val="22"/>
          <w:lang w:val="en-US"/>
        </w:rPr>
        <w:t>d</w:t>
      </w:r>
      <w:bookmarkEnd w:id="16"/>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 – 3 points for leading a project, 1 point for implementation, with a total of no more than 6 points,</w:t>
      </w:r>
    </w:p>
    <w:p w14:paraId="24615BEF"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17" w:name="bookmark17"/>
      <w:r w:rsidRPr="0040647D">
        <w:rPr>
          <w:rFonts w:ascii="Times New Roman" w:hAnsi="Times New Roman" w:cs="Times New Roman"/>
          <w:color w:val="auto"/>
          <w:sz w:val="22"/>
          <w:szCs w:val="22"/>
          <w:lang w:val="en-US"/>
        </w:rPr>
        <w:t>e</w:t>
      </w:r>
      <w:bookmarkEnd w:id="17"/>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active (through poster, presentation) participation in scientific conferences confirmed by a certificate or other document confirming participation – no more than 3 points,</w:t>
      </w:r>
    </w:p>
    <w:p w14:paraId="4610A32F" w14:textId="211F63C7" w:rsidR="001D6273" w:rsidRPr="0040647D" w:rsidRDefault="0040647D" w:rsidP="00663387">
      <w:pPr>
        <w:spacing w:line="276" w:lineRule="auto"/>
        <w:ind w:left="851"/>
        <w:jc w:val="both"/>
        <w:rPr>
          <w:rFonts w:ascii="Times New Roman" w:hAnsi="Times New Roman" w:cs="Times New Roman"/>
          <w:color w:val="auto"/>
          <w:sz w:val="22"/>
          <w:szCs w:val="22"/>
          <w:lang w:val="en-US"/>
        </w:rPr>
      </w:pPr>
      <w:bookmarkStart w:id="18" w:name="bookmark18"/>
      <w:r w:rsidRPr="0040647D">
        <w:rPr>
          <w:rFonts w:ascii="Times New Roman" w:hAnsi="Times New Roman" w:cs="Times New Roman"/>
          <w:color w:val="auto"/>
          <w:sz w:val="22"/>
          <w:szCs w:val="22"/>
          <w:lang w:val="en-US"/>
        </w:rPr>
        <w:t>-</w:t>
      </w:r>
      <w:bookmarkEnd w:id="18"/>
      <w:r w:rsidRPr="0040647D">
        <w:rPr>
          <w:rFonts w:ascii="Times New Roman" w:hAnsi="Times New Roman" w:cs="Times New Roman"/>
          <w:color w:val="auto"/>
          <w:sz w:val="22"/>
          <w:szCs w:val="22"/>
          <w:lang w:val="en-US"/>
        </w:rPr>
        <w:t xml:space="preserve"> the total number of points awarded for scientific achievements must not exceed 24 points.</w:t>
      </w:r>
    </w:p>
    <w:p w14:paraId="0751273B" w14:textId="77777777" w:rsidR="001D6273" w:rsidRPr="0040647D" w:rsidRDefault="0040647D" w:rsidP="00663387">
      <w:pPr>
        <w:spacing w:line="276" w:lineRule="auto"/>
        <w:ind w:left="1276" w:hanging="425"/>
        <w:jc w:val="both"/>
        <w:outlineLvl w:val="0"/>
        <w:rPr>
          <w:rFonts w:ascii="Times New Roman" w:hAnsi="Times New Roman" w:cs="Times New Roman"/>
          <w:color w:val="auto"/>
          <w:sz w:val="22"/>
          <w:szCs w:val="22"/>
          <w:lang w:val="en-US"/>
        </w:rPr>
      </w:pPr>
      <w:bookmarkStart w:id="19" w:name="bookmark20"/>
      <w:bookmarkStart w:id="20" w:name="bookmark19"/>
      <w:bookmarkStart w:id="21" w:name="bookmark21"/>
      <w:r w:rsidRPr="0040647D">
        <w:rPr>
          <w:rFonts w:ascii="Times New Roman" w:hAnsi="Times New Roman" w:cs="Times New Roman"/>
          <w:color w:val="auto"/>
          <w:sz w:val="22"/>
          <w:szCs w:val="22"/>
          <w:shd w:val="clear" w:color="auto" w:fill="FFFFFF"/>
          <w:lang w:val="en-US"/>
        </w:rPr>
        <w:t>4</w:t>
      </w:r>
      <w:bookmarkEnd w:id="19"/>
      <w:r w:rsidRPr="0040647D">
        <w:rPr>
          <w:rFonts w:ascii="Times New Roman" w:hAnsi="Times New Roman" w:cs="Times New Roman"/>
          <w:color w:val="auto"/>
          <w:sz w:val="22"/>
          <w:szCs w:val="22"/>
          <w:shd w:val="clear" w:color="auto" w:fill="FFFFFF"/>
          <w:lang w:val="en-US"/>
        </w:rPr>
        <w:t>)</w:t>
      </w:r>
      <w:r w:rsidRPr="0040647D">
        <w:rPr>
          <w:rFonts w:ascii="Times New Roman" w:hAnsi="Times New Roman" w:cs="Times New Roman"/>
          <w:color w:val="auto"/>
          <w:sz w:val="22"/>
          <w:szCs w:val="22"/>
          <w:lang w:val="en-US"/>
        </w:rPr>
        <w:tab/>
      </w:r>
      <w:r w:rsidRPr="0040647D">
        <w:rPr>
          <w:rFonts w:ascii="Times New Roman" w:hAnsi="Times New Roman" w:cs="Times New Roman"/>
          <w:b/>
          <w:bCs/>
          <w:color w:val="auto"/>
          <w:sz w:val="22"/>
          <w:szCs w:val="22"/>
          <w:lang w:val="en-US"/>
        </w:rPr>
        <w:t>interview</w:t>
      </w:r>
      <w:bookmarkEnd w:id="20"/>
      <w:bookmarkEnd w:id="21"/>
    </w:p>
    <w:p w14:paraId="4F5ABE27"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22" w:name="bookmark22"/>
      <w:r w:rsidRPr="0040647D">
        <w:rPr>
          <w:rFonts w:ascii="Times New Roman" w:hAnsi="Times New Roman" w:cs="Times New Roman"/>
          <w:color w:val="auto"/>
          <w:sz w:val="22"/>
          <w:szCs w:val="22"/>
          <w:lang w:val="en-US"/>
        </w:rPr>
        <w:t>a</w:t>
      </w:r>
      <w:bookmarkEnd w:id="22"/>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 xml:space="preserve">the interview will include the candidate’s prior scientific and research experience, the candidate’s presentation of the research project submitted during the enrollment process, a discussion of the research project (its assumptions and implementation) and </w:t>
      </w:r>
      <w:r w:rsidRPr="0040647D">
        <w:rPr>
          <w:rFonts w:ascii="Times New Roman" w:hAnsi="Times New Roman" w:cs="Times New Roman"/>
          <w:color w:val="auto"/>
          <w:sz w:val="22"/>
          <w:szCs w:val="22"/>
          <w:lang w:val="en-US"/>
        </w:rPr>
        <w:lastRenderedPageBreak/>
        <w:t>scientific plans – no more than 12 points, with at least 6 points required for a positive evaluation</w:t>
      </w:r>
    </w:p>
    <w:p w14:paraId="673DAF17" w14:textId="77777777" w:rsidR="001D6273" w:rsidRPr="0040647D" w:rsidRDefault="0040647D" w:rsidP="00B575FB">
      <w:pPr>
        <w:spacing w:line="276" w:lineRule="auto"/>
        <w:ind w:left="2126" w:hanging="425"/>
        <w:jc w:val="both"/>
        <w:rPr>
          <w:rFonts w:ascii="Times New Roman" w:hAnsi="Times New Roman" w:cs="Times New Roman"/>
          <w:color w:val="auto"/>
          <w:sz w:val="22"/>
          <w:szCs w:val="22"/>
          <w:lang w:val="en-US"/>
        </w:rPr>
      </w:pPr>
      <w:bookmarkStart w:id="23" w:name="bookmark23"/>
      <w:r w:rsidRPr="0040647D">
        <w:rPr>
          <w:rFonts w:ascii="Times New Roman" w:hAnsi="Times New Roman" w:cs="Times New Roman"/>
          <w:color w:val="auto"/>
          <w:sz w:val="22"/>
          <w:szCs w:val="22"/>
          <w:lang w:val="en-US"/>
        </w:rPr>
        <w:t>b</w:t>
      </w:r>
      <w:bookmarkEnd w:id="23"/>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the part of the interview related to abstract will be conducted in English and will also serve as a language proficiency test for candidates. The candidate’s knowledge of English will be assessed by a member of the Recruitment Committee listed in §2(2)(c) of the resolution – no more than 4 points, with at least 2 points required for a positive evaluation</w:t>
      </w:r>
    </w:p>
    <w:p w14:paraId="4472E5CA" w14:textId="77777777" w:rsidR="001D6273" w:rsidRPr="0040647D" w:rsidRDefault="0040647D" w:rsidP="00B575FB">
      <w:pPr>
        <w:spacing w:line="276" w:lineRule="auto"/>
        <w:ind w:left="1276"/>
        <w:jc w:val="both"/>
        <w:rPr>
          <w:rFonts w:ascii="Times New Roman" w:hAnsi="Times New Roman" w:cs="Times New Roman"/>
          <w:color w:val="auto"/>
          <w:sz w:val="22"/>
          <w:szCs w:val="22"/>
          <w:lang w:val="en-US"/>
        </w:rPr>
      </w:pPr>
      <w:r w:rsidRPr="0040647D">
        <w:rPr>
          <w:rFonts w:ascii="Times New Roman" w:hAnsi="Times New Roman" w:cs="Times New Roman"/>
          <w:color w:val="auto"/>
          <w:sz w:val="22"/>
          <w:szCs w:val="22"/>
          <w:lang w:val="en-US"/>
        </w:rPr>
        <w:t>- the total number of points awarded for the interview must not exceed 16 points. A positive interview result means receiving a positive evaluation in both parts of the interview.</w:t>
      </w:r>
    </w:p>
    <w:p w14:paraId="06E64776" w14:textId="77777777" w:rsidR="001D6273" w:rsidRPr="0040647D" w:rsidRDefault="0040647D" w:rsidP="00663387">
      <w:pPr>
        <w:spacing w:line="276" w:lineRule="auto"/>
        <w:ind w:left="425" w:hanging="425"/>
        <w:jc w:val="both"/>
        <w:rPr>
          <w:rFonts w:ascii="Times New Roman" w:hAnsi="Times New Roman" w:cs="Times New Roman"/>
          <w:color w:val="auto"/>
          <w:sz w:val="22"/>
          <w:szCs w:val="22"/>
          <w:lang w:val="en-US"/>
        </w:rPr>
      </w:pPr>
      <w:bookmarkStart w:id="24" w:name="bookmark24"/>
      <w:r w:rsidRPr="0040647D">
        <w:rPr>
          <w:rFonts w:ascii="Times New Roman" w:hAnsi="Times New Roman" w:cs="Times New Roman"/>
          <w:color w:val="auto"/>
          <w:sz w:val="22"/>
          <w:szCs w:val="22"/>
          <w:lang w:val="en-US"/>
        </w:rPr>
        <w:t>2</w:t>
      </w:r>
      <w:bookmarkEnd w:id="24"/>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The total number of recruitment points awarded in the qualification procedure must not exceed 80 points.</w:t>
      </w:r>
    </w:p>
    <w:p w14:paraId="4B501B82" w14:textId="77777777" w:rsidR="001D6273" w:rsidRPr="0040647D" w:rsidRDefault="0040647D" w:rsidP="00663387">
      <w:pPr>
        <w:spacing w:line="276" w:lineRule="auto"/>
        <w:ind w:left="425" w:hanging="425"/>
        <w:jc w:val="both"/>
        <w:rPr>
          <w:rFonts w:ascii="Times New Roman" w:hAnsi="Times New Roman" w:cs="Times New Roman"/>
          <w:color w:val="auto"/>
          <w:sz w:val="22"/>
          <w:szCs w:val="22"/>
          <w:lang w:val="en-US"/>
        </w:rPr>
      </w:pPr>
      <w:bookmarkStart w:id="25" w:name="bookmark25"/>
      <w:r w:rsidRPr="0040647D">
        <w:rPr>
          <w:rFonts w:ascii="Times New Roman" w:hAnsi="Times New Roman" w:cs="Times New Roman"/>
          <w:color w:val="auto"/>
          <w:sz w:val="22"/>
          <w:szCs w:val="22"/>
          <w:lang w:val="en-US"/>
        </w:rPr>
        <w:t>3</w:t>
      </w:r>
      <w:bookmarkEnd w:id="25"/>
      <w:r w:rsidRPr="0040647D">
        <w:rPr>
          <w:rFonts w:ascii="Times New Roman" w:hAnsi="Times New Roman" w:cs="Times New Roman"/>
          <w:color w:val="auto"/>
          <w:sz w:val="22"/>
          <w:szCs w:val="22"/>
          <w:lang w:val="en-US"/>
        </w:rPr>
        <w:t>.</w:t>
      </w:r>
      <w:r w:rsidRPr="0040647D">
        <w:rPr>
          <w:rFonts w:ascii="Times New Roman" w:hAnsi="Times New Roman" w:cs="Times New Roman"/>
          <w:color w:val="auto"/>
          <w:sz w:val="22"/>
          <w:szCs w:val="22"/>
          <w:lang w:val="en-US"/>
        </w:rPr>
        <w:tab/>
        <w:t>In the case of an equal number of recruitment points as mentioned in paragraph 2, the choice of the candidate will be determined first by the higher-rated research project, followed by the higher-rated publications, and finally the decision of the Head of the Doctoral School.</w:t>
      </w:r>
    </w:p>
    <w:sectPr w:rsidR="001D6273" w:rsidRPr="0040647D" w:rsidSect="008642F7">
      <w:pgSz w:w="11909" w:h="16840" w:code="9"/>
      <w:pgMar w:top="1588" w:right="1021" w:bottom="1021" w:left="1247" w:header="567"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48B9" w14:textId="77777777" w:rsidR="00085527" w:rsidRDefault="00085527">
      <w:r>
        <w:separator/>
      </w:r>
    </w:p>
  </w:endnote>
  <w:endnote w:type="continuationSeparator" w:id="0">
    <w:p w14:paraId="402B10B6" w14:textId="77777777" w:rsidR="00085527" w:rsidRDefault="0008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45F37" w14:textId="77777777" w:rsidR="00085527" w:rsidRDefault="00085527"/>
  </w:footnote>
  <w:footnote w:type="continuationSeparator" w:id="0">
    <w:p w14:paraId="2F59804E" w14:textId="77777777" w:rsidR="00085527" w:rsidRDefault="000855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73"/>
    <w:rsid w:val="00085527"/>
    <w:rsid w:val="001D6273"/>
    <w:rsid w:val="0040647D"/>
    <w:rsid w:val="00520259"/>
    <w:rsid w:val="00521C23"/>
    <w:rsid w:val="00663387"/>
    <w:rsid w:val="006F010C"/>
    <w:rsid w:val="00757F95"/>
    <w:rsid w:val="00790151"/>
    <w:rsid w:val="008642F7"/>
    <w:rsid w:val="00B575FB"/>
    <w:rsid w:val="00BE07AA"/>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B2F8"/>
  <w15:docId w15:val="{2450536A-3DA3-4DC9-B356-8083AA33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5</cp:revision>
  <dcterms:created xsi:type="dcterms:W3CDTF">2024-10-22T11:46:00Z</dcterms:created>
  <dcterms:modified xsi:type="dcterms:W3CDTF">2025-01-10T09:52:00Z</dcterms:modified>
</cp:coreProperties>
</file>