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380" w:rsidRPr="00A51380" w:rsidRDefault="00A51380" w:rsidP="00A51380">
      <w:pPr>
        <w:pStyle w:val="Tekstpodstawowy"/>
        <w:ind w:hanging="3793"/>
        <w:jc w:val="both"/>
        <w:rPr>
          <w:rFonts w:asciiTheme="majorHAnsi" w:hAnsiTheme="majorHAnsi"/>
          <w:b w:val="0"/>
          <w:sz w:val="18"/>
          <w:szCs w:val="18"/>
          <w:lang w:val="pl-PL"/>
        </w:rPr>
      </w:pPr>
      <w:r w:rsidRPr="00A51380">
        <w:rPr>
          <w:rFonts w:asciiTheme="majorHAnsi" w:hAnsiTheme="majorHAnsi"/>
          <w:b w:val="0"/>
          <w:sz w:val="18"/>
          <w:szCs w:val="18"/>
          <w:lang w:val="pl-PL"/>
        </w:rPr>
        <w:t>The Maria Grzegorzewska University</w:t>
      </w:r>
    </w:p>
    <w:p w:rsidR="00A51380" w:rsidRPr="00A51380" w:rsidRDefault="00A51380" w:rsidP="00A51380">
      <w:pPr>
        <w:pStyle w:val="Tekstpodstawowy"/>
        <w:ind w:hanging="3793"/>
        <w:jc w:val="both"/>
        <w:rPr>
          <w:rFonts w:asciiTheme="majorHAnsi" w:hAnsiTheme="majorHAnsi"/>
          <w:sz w:val="18"/>
          <w:szCs w:val="18"/>
          <w:lang w:val="pl-PL"/>
        </w:rPr>
      </w:pPr>
      <w:r w:rsidRPr="00A51380">
        <w:rPr>
          <w:rFonts w:asciiTheme="majorHAnsi" w:hAnsiTheme="majorHAnsi"/>
          <w:b w:val="0"/>
          <w:sz w:val="18"/>
          <w:szCs w:val="18"/>
          <w:lang w:val="pl-PL"/>
        </w:rPr>
        <w:t>PL WARSZAW04</w:t>
      </w:r>
    </w:p>
    <w:p w:rsidR="00A51380" w:rsidRPr="00A51380" w:rsidRDefault="00A51380" w:rsidP="00A51380">
      <w:pPr>
        <w:pStyle w:val="Tekstpodstawowy"/>
        <w:ind w:hanging="3793"/>
        <w:jc w:val="both"/>
        <w:rPr>
          <w:rFonts w:asciiTheme="majorHAnsi" w:hAnsiTheme="majorHAnsi"/>
          <w:sz w:val="18"/>
          <w:szCs w:val="18"/>
          <w:lang w:val="pl-PL"/>
        </w:rPr>
      </w:pPr>
    </w:p>
    <w:p w:rsidR="00101433" w:rsidRDefault="0024228B">
      <w:pPr>
        <w:pStyle w:val="Tekstpodstawowy"/>
        <w:rPr>
          <w:rFonts w:asciiTheme="majorHAnsi" w:hAnsiTheme="majorHAnsi"/>
          <w:sz w:val="18"/>
          <w:szCs w:val="18"/>
        </w:rPr>
      </w:pPr>
      <w:r w:rsidRPr="004F2311">
        <w:rPr>
          <w:rFonts w:asciiTheme="majorHAnsi" w:hAnsiTheme="majorHAnsi"/>
          <w:sz w:val="18"/>
          <w:szCs w:val="18"/>
        </w:rPr>
        <w:t>Courses in foreign languages</w:t>
      </w:r>
    </w:p>
    <w:p w:rsidR="00A51380" w:rsidRPr="004F2311" w:rsidRDefault="00A51380">
      <w:pPr>
        <w:pStyle w:val="Tekstpodstawowy"/>
        <w:rPr>
          <w:rFonts w:asciiTheme="majorHAnsi" w:hAnsiTheme="majorHAnsi"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8100"/>
      </w:tblGrid>
      <w:tr w:rsidR="00101433" w:rsidRPr="0030711D">
        <w:trPr>
          <w:trHeight w:hRule="exact" w:val="286"/>
        </w:trPr>
        <w:tc>
          <w:tcPr>
            <w:tcW w:w="2340" w:type="dxa"/>
          </w:tcPr>
          <w:p w:rsidR="00101433" w:rsidRPr="0030711D" w:rsidRDefault="0024228B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Academic year</w:t>
            </w:r>
          </w:p>
        </w:tc>
        <w:tc>
          <w:tcPr>
            <w:tcW w:w="8100" w:type="dxa"/>
          </w:tcPr>
          <w:p w:rsidR="00101433" w:rsidRPr="0030711D" w:rsidRDefault="0024228B">
            <w:pPr>
              <w:pStyle w:val="TableParagraph"/>
              <w:spacing w:line="273" w:lineRule="exact"/>
              <w:ind w:left="102" w:right="90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20</w:t>
            </w:r>
            <w:r w:rsidR="0030711D" w:rsidRPr="0030711D">
              <w:rPr>
                <w:sz w:val="20"/>
                <w:szCs w:val="20"/>
              </w:rPr>
              <w:t>20</w:t>
            </w:r>
            <w:r w:rsidRPr="0030711D">
              <w:rPr>
                <w:sz w:val="20"/>
                <w:szCs w:val="20"/>
              </w:rPr>
              <w:t>-20</w:t>
            </w:r>
            <w:r w:rsidR="0019341D" w:rsidRPr="0030711D">
              <w:rPr>
                <w:sz w:val="20"/>
                <w:szCs w:val="20"/>
              </w:rPr>
              <w:t>2</w:t>
            </w:r>
            <w:r w:rsidR="0030711D" w:rsidRPr="0030711D">
              <w:rPr>
                <w:sz w:val="20"/>
                <w:szCs w:val="20"/>
              </w:rPr>
              <w:t>1</w:t>
            </w:r>
          </w:p>
        </w:tc>
      </w:tr>
      <w:tr w:rsidR="00101433" w:rsidRPr="0030711D">
        <w:trPr>
          <w:trHeight w:hRule="exact" w:val="286"/>
        </w:trPr>
        <w:tc>
          <w:tcPr>
            <w:tcW w:w="2340" w:type="dxa"/>
          </w:tcPr>
          <w:p w:rsidR="00101433" w:rsidRPr="0030711D" w:rsidRDefault="0024228B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Area subject code</w:t>
            </w:r>
          </w:p>
        </w:tc>
        <w:tc>
          <w:tcPr>
            <w:tcW w:w="8100" w:type="dxa"/>
          </w:tcPr>
          <w:p w:rsidR="00101433" w:rsidRPr="0030711D" w:rsidRDefault="0024228B">
            <w:pPr>
              <w:pStyle w:val="TableParagraph"/>
              <w:spacing w:line="273" w:lineRule="exact"/>
              <w:ind w:right="0"/>
              <w:rPr>
                <w:sz w:val="20"/>
                <w:szCs w:val="20"/>
              </w:rPr>
            </w:pPr>
            <w:r w:rsidRPr="0030711D">
              <w:rPr>
                <w:w w:val="99"/>
                <w:sz w:val="20"/>
                <w:szCs w:val="20"/>
              </w:rPr>
              <w:t>-</w:t>
            </w:r>
          </w:p>
        </w:tc>
      </w:tr>
      <w:tr w:rsidR="00101433" w:rsidRPr="0030711D" w:rsidTr="00A43688">
        <w:trPr>
          <w:trHeight w:hRule="exact" w:val="648"/>
        </w:trPr>
        <w:tc>
          <w:tcPr>
            <w:tcW w:w="2340" w:type="dxa"/>
          </w:tcPr>
          <w:p w:rsidR="00101433" w:rsidRPr="0030711D" w:rsidRDefault="0024228B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Title of course</w:t>
            </w:r>
          </w:p>
        </w:tc>
        <w:tc>
          <w:tcPr>
            <w:tcW w:w="8100" w:type="dxa"/>
          </w:tcPr>
          <w:p w:rsidR="00101433" w:rsidRPr="0030711D" w:rsidRDefault="00101433">
            <w:pPr>
              <w:pStyle w:val="TableParagraph"/>
              <w:ind w:left="0" w:right="0"/>
              <w:rPr>
                <w:b/>
                <w:sz w:val="20"/>
                <w:szCs w:val="20"/>
              </w:rPr>
            </w:pPr>
          </w:p>
          <w:p w:rsidR="00101433" w:rsidRPr="0030711D" w:rsidRDefault="001F356C" w:rsidP="00684C65">
            <w:pPr>
              <w:pStyle w:val="TableParagraph"/>
              <w:ind w:right="90"/>
              <w:jc w:val="center"/>
              <w:rPr>
                <w:b/>
                <w:sz w:val="20"/>
                <w:szCs w:val="20"/>
              </w:rPr>
            </w:pPr>
            <w:r w:rsidRPr="0030711D">
              <w:rPr>
                <w:b/>
                <w:sz w:val="20"/>
                <w:szCs w:val="20"/>
              </w:rPr>
              <w:t xml:space="preserve">Migrations - reintegration and re-adaptation </w:t>
            </w:r>
            <w:r w:rsidR="00010C78">
              <w:rPr>
                <w:b/>
                <w:sz w:val="20"/>
                <w:szCs w:val="20"/>
              </w:rPr>
              <w:t>strategies</w:t>
            </w:r>
            <w:r w:rsidR="00684C65" w:rsidRPr="0030711D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032BF9" w:rsidRPr="0030711D">
        <w:trPr>
          <w:trHeight w:hRule="exact" w:val="564"/>
        </w:trPr>
        <w:tc>
          <w:tcPr>
            <w:tcW w:w="2340" w:type="dxa"/>
          </w:tcPr>
          <w:p w:rsidR="00032BF9" w:rsidRPr="0030711D" w:rsidRDefault="00032BF9" w:rsidP="00032BF9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Level</w:t>
            </w:r>
          </w:p>
        </w:tc>
        <w:tc>
          <w:tcPr>
            <w:tcW w:w="8100" w:type="dxa"/>
          </w:tcPr>
          <w:p w:rsidR="00032BF9" w:rsidRPr="0030711D" w:rsidRDefault="00032BF9" w:rsidP="00032BF9">
            <w:pPr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I  (undergraduate – B.A.),  II   (graduate – M.A.), III  postgraduate</w:t>
            </w:r>
          </w:p>
        </w:tc>
      </w:tr>
      <w:tr w:rsidR="00032BF9" w:rsidRPr="0030711D">
        <w:trPr>
          <w:trHeight w:hRule="exact" w:val="563"/>
        </w:trPr>
        <w:tc>
          <w:tcPr>
            <w:tcW w:w="2340" w:type="dxa"/>
          </w:tcPr>
          <w:p w:rsidR="00032BF9" w:rsidRPr="0030711D" w:rsidRDefault="00032BF9" w:rsidP="00032BF9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Time</w:t>
            </w:r>
          </w:p>
          <w:p w:rsidR="00032BF9" w:rsidRPr="0030711D" w:rsidRDefault="00032BF9" w:rsidP="00032BF9">
            <w:pPr>
              <w:pStyle w:val="TableParagraph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of implementation</w:t>
            </w:r>
          </w:p>
        </w:tc>
        <w:tc>
          <w:tcPr>
            <w:tcW w:w="8100" w:type="dxa"/>
          </w:tcPr>
          <w:p w:rsidR="00032BF9" w:rsidRPr="0030711D" w:rsidRDefault="00032BF9" w:rsidP="00032BF9">
            <w:pPr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 xml:space="preserve">1st semester,  2nd  semester, 1st +2nd semester             </w:t>
            </w:r>
          </w:p>
        </w:tc>
      </w:tr>
      <w:tr w:rsidR="00032BF9" w:rsidRPr="0030711D">
        <w:trPr>
          <w:trHeight w:hRule="exact" w:val="286"/>
        </w:trPr>
        <w:tc>
          <w:tcPr>
            <w:tcW w:w="2340" w:type="dxa"/>
          </w:tcPr>
          <w:p w:rsidR="00032BF9" w:rsidRPr="0030711D" w:rsidRDefault="00032BF9" w:rsidP="00032BF9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Number of hours</w:t>
            </w:r>
          </w:p>
        </w:tc>
        <w:tc>
          <w:tcPr>
            <w:tcW w:w="8100" w:type="dxa"/>
          </w:tcPr>
          <w:p w:rsidR="00032BF9" w:rsidRPr="0030711D" w:rsidRDefault="00032BF9" w:rsidP="00032BF9">
            <w:pPr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30</w:t>
            </w:r>
          </w:p>
        </w:tc>
      </w:tr>
      <w:tr w:rsidR="00032BF9" w:rsidRPr="0030711D">
        <w:trPr>
          <w:trHeight w:hRule="exact" w:val="287"/>
        </w:trPr>
        <w:tc>
          <w:tcPr>
            <w:tcW w:w="2340" w:type="dxa"/>
          </w:tcPr>
          <w:p w:rsidR="00032BF9" w:rsidRPr="0030711D" w:rsidRDefault="00032BF9" w:rsidP="00032BF9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ECTS</w:t>
            </w:r>
          </w:p>
        </w:tc>
        <w:tc>
          <w:tcPr>
            <w:tcW w:w="8100" w:type="dxa"/>
          </w:tcPr>
          <w:p w:rsidR="00032BF9" w:rsidRPr="0030711D" w:rsidRDefault="00032BF9" w:rsidP="00032BF9">
            <w:pPr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6</w:t>
            </w:r>
          </w:p>
        </w:tc>
      </w:tr>
      <w:tr w:rsidR="00032BF9" w:rsidRPr="0030711D" w:rsidTr="00DC300C">
        <w:trPr>
          <w:trHeight w:hRule="exact" w:val="562"/>
        </w:trPr>
        <w:tc>
          <w:tcPr>
            <w:tcW w:w="2340" w:type="dxa"/>
          </w:tcPr>
          <w:p w:rsidR="00032BF9" w:rsidRPr="0030711D" w:rsidRDefault="00032BF9" w:rsidP="00032BF9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Lecture(s)</w:t>
            </w:r>
          </w:p>
          <w:p w:rsidR="00032BF9" w:rsidRPr="0030711D" w:rsidRDefault="00032BF9" w:rsidP="00032BF9">
            <w:pPr>
              <w:pStyle w:val="TableParagraph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(name and last name)</w:t>
            </w:r>
          </w:p>
        </w:tc>
        <w:tc>
          <w:tcPr>
            <w:tcW w:w="8100" w:type="dxa"/>
          </w:tcPr>
          <w:p w:rsidR="00032BF9" w:rsidRPr="0030711D" w:rsidRDefault="00032BF9" w:rsidP="00032BF9">
            <w:pPr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Dominika Zakrzewska-Olędzka</w:t>
            </w:r>
          </w:p>
        </w:tc>
      </w:tr>
      <w:tr w:rsidR="00032BF9" w:rsidRPr="0030711D" w:rsidTr="004E4660">
        <w:trPr>
          <w:trHeight w:hRule="exact" w:val="286"/>
        </w:trPr>
        <w:tc>
          <w:tcPr>
            <w:tcW w:w="2340" w:type="dxa"/>
          </w:tcPr>
          <w:p w:rsidR="00032BF9" w:rsidRPr="0030711D" w:rsidRDefault="00032BF9" w:rsidP="00032BF9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Title/position</w:t>
            </w:r>
          </w:p>
        </w:tc>
        <w:tc>
          <w:tcPr>
            <w:tcW w:w="8100" w:type="dxa"/>
          </w:tcPr>
          <w:p w:rsidR="00032BF9" w:rsidRPr="0030711D" w:rsidRDefault="00032BF9" w:rsidP="00032BF9">
            <w:pPr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 xml:space="preserve">PhD / </w:t>
            </w:r>
            <w:proofErr w:type="spellStart"/>
            <w:r w:rsidRPr="0030711D">
              <w:rPr>
                <w:sz w:val="20"/>
                <w:szCs w:val="20"/>
              </w:rPr>
              <w:t>Adiunkt</w:t>
            </w:r>
            <w:proofErr w:type="spellEnd"/>
          </w:p>
        </w:tc>
      </w:tr>
      <w:tr w:rsidR="00032BF9" w:rsidRPr="0030711D" w:rsidTr="00B840B6">
        <w:trPr>
          <w:trHeight w:hRule="exact" w:val="677"/>
        </w:trPr>
        <w:tc>
          <w:tcPr>
            <w:tcW w:w="2340" w:type="dxa"/>
          </w:tcPr>
          <w:p w:rsidR="00032BF9" w:rsidRPr="0030711D" w:rsidRDefault="00032BF9" w:rsidP="00032BF9">
            <w:pPr>
              <w:pStyle w:val="TableParagraph"/>
              <w:spacing w:before="3" w:line="274" w:lineRule="exact"/>
              <w:ind w:right="367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Affiliation (Institute, division)</w:t>
            </w:r>
          </w:p>
        </w:tc>
        <w:tc>
          <w:tcPr>
            <w:tcW w:w="8100" w:type="dxa"/>
          </w:tcPr>
          <w:p w:rsidR="00032BF9" w:rsidRPr="0030711D" w:rsidRDefault="00032BF9" w:rsidP="00A43688">
            <w:pPr>
              <w:jc w:val="center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Institute of Psychology</w:t>
            </w:r>
          </w:p>
        </w:tc>
      </w:tr>
      <w:tr w:rsidR="00101433" w:rsidRPr="0030711D" w:rsidTr="0019341D">
        <w:trPr>
          <w:trHeight w:hRule="exact" w:val="8111"/>
        </w:trPr>
        <w:tc>
          <w:tcPr>
            <w:tcW w:w="2340" w:type="dxa"/>
          </w:tcPr>
          <w:p w:rsidR="00101433" w:rsidRPr="0030711D" w:rsidRDefault="0024228B">
            <w:pPr>
              <w:pStyle w:val="TableParagraph"/>
              <w:ind w:right="401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Course description (up to 600 words)</w:t>
            </w:r>
          </w:p>
        </w:tc>
        <w:tc>
          <w:tcPr>
            <w:tcW w:w="8100" w:type="dxa"/>
          </w:tcPr>
          <w:p w:rsidR="00311B4A" w:rsidRPr="0030711D" w:rsidRDefault="00311B4A" w:rsidP="00411228">
            <w:pPr>
              <w:pStyle w:val="TableParagraph"/>
              <w:ind w:right="90"/>
              <w:jc w:val="both"/>
              <w:rPr>
                <w:color w:val="212121"/>
              </w:rPr>
            </w:pPr>
            <w:r w:rsidRPr="0030711D">
              <w:rPr>
                <w:color w:val="212121"/>
              </w:rPr>
              <w:t>The aim of the course is to provide students with knowledge of the current psychological and pedagogical challenges regarding migrations and refugeeism</w:t>
            </w:r>
            <w:r w:rsidR="0019341D" w:rsidRPr="0030711D">
              <w:rPr>
                <w:color w:val="212121"/>
              </w:rPr>
              <w:t xml:space="preserve"> and minorities situation</w:t>
            </w:r>
            <w:r w:rsidRPr="0030711D">
              <w:rPr>
                <w:color w:val="212121"/>
              </w:rPr>
              <w:t xml:space="preserve">, as well as </w:t>
            </w:r>
            <w:r w:rsidR="006853B4" w:rsidRPr="0030711D">
              <w:rPr>
                <w:color w:val="212121"/>
              </w:rPr>
              <w:t>case studies, good practices and reflections</w:t>
            </w:r>
            <w:r w:rsidRPr="0030711D">
              <w:rPr>
                <w:color w:val="212121"/>
              </w:rPr>
              <w:t xml:space="preserve"> from countries experiencing suc</w:t>
            </w:r>
            <w:r w:rsidR="006853B4" w:rsidRPr="0030711D">
              <w:rPr>
                <w:color w:val="212121"/>
              </w:rPr>
              <w:t xml:space="preserve">h processes. Students will </w:t>
            </w:r>
            <w:r w:rsidRPr="0030711D">
              <w:rPr>
                <w:color w:val="212121"/>
              </w:rPr>
              <w:t>discuss the challenges, opportunities and weaknesses of the framework and the strategies of re-adaptation and reintegration with reference to the aspects of reestablishing child and family life, social connections and personal bounds after changing the cultural environment</w:t>
            </w:r>
            <w:r w:rsidR="006853B4" w:rsidRPr="0030711D">
              <w:rPr>
                <w:color w:val="212121"/>
              </w:rPr>
              <w:t xml:space="preserve"> on a base of provided materials including written data and multimedia sources</w:t>
            </w:r>
            <w:r w:rsidRPr="0030711D">
              <w:rPr>
                <w:color w:val="212121"/>
              </w:rPr>
              <w:t xml:space="preserve">. Also, different strategies of support from governmental institutions (educational, cultural, social care) and non-governmental organizations and their influence on the empowerment and </w:t>
            </w:r>
            <w:r w:rsidR="007F4E6D" w:rsidRPr="0030711D">
              <w:rPr>
                <w:color w:val="212121"/>
              </w:rPr>
              <w:t>active participation of the newcomers within the society stru</w:t>
            </w:r>
            <w:r w:rsidR="006853B4" w:rsidRPr="0030711D">
              <w:rPr>
                <w:color w:val="212121"/>
              </w:rPr>
              <w:t>ctures in the receiving country will be analyzed.</w:t>
            </w:r>
          </w:p>
          <w:p w:rsidR="00A43688" w:rsidRPr="0030711D" w:rsidRDefault="00A43688" w:rsidP="00411228">
            <w:pPr>
              <w:pStyle w:val="TableParagraph"/>
              <w:ind w:right="90"/>
              <w:jc w:val="both"/>
              <w:rPr>
                <w:color w:val="212121"/>
              </w:rPr>
            </w:pPr>
          </w:p>
          <w:p w:rsidR="00101433" w:rsidRPr="0030711D" w:rsidRDefault="0024228B" w:rsidP="006853B4">
            <w:pPr>
              <w:pStyle w:val="TableParagraph"/>
              <w:ind w:left="0" w:right="90"/>
              <w:jc w:val="both"/>
              <w:rPr>
                <w:u w:val="single"/>
              </w:rPr>
            </w:pPr>
            <w:r w:rsidRPr="0030711D">
              <w:rPr>
                <w:color w:val="212121"/>
                <w:u w:val="single"/>
              </w:rPr>
              <w:t>The course will</w:t>
            </w:r>
            <w:r w:rsidR="006853B4" w:rsidRPr="0030711D">
              <w:rPr>
                <w:color w:val="212121"/>
                <w:u w:val="single"/>
              </w:rPr>
              <w:t xml:space="preserve"> cover following topics:</w:t>
            </w:r>
          </w:p>
          <w:p w:rsidR="002962ED" w:rsidRPr="0030711D" w:rsidRDefault="002962ED" w:rsidP="004F2311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1133"/>
              <w:jc w:val="both"/>
            </w:pPr>
            <w:r w:rsidRPr="0030711D">
              <w:t>Reasons of the migration of people nowadays;</w:t>
            </w:r>
          </w:p>
          <w:p w:rsidR="002962ED" w:rsidRPr="0030711D" w:rsidRDefault="002962ED" w:rsidP="004F2311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1133"/>
              <w:jc w:val="both"/>
            </w:pPr>
            <w:r w:rsidRPr="0030711D">
              <w:t>Psychological and pedagogical support for migrant &amp; refugee children and adolescents;</w:t>
            </w:r>
          </w:p>
          <w:p w:rsidR="00AC1B61" w:rsidRPr="0030711D" w:rsidRDefault="00AC1B61" w:rsidP="004F2311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1133"/>
              <w:jc w:val="both"/>
            </w:pPr>
            <w:r w:rsidRPr="0030711D">
              <w:t>The concept of self- and group identity</w:t>
            </w:r>
          </w:p>
          <w:p w:rsidR="002962ED" w:rsidRPr="0030711D" w:rsidRDefault="002962ED" w:rsidP="004F2311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1133"/>
              <w:jc w:val="both"/>
            </w:pPr>
            <w:r w:rsidRPr="0030711D">
              <w:t>Building and preserving group identity in the new environment;</w:t>
            </w:r>
          </w:p>
          <w:p w:rsidR="00101433" w:rsidRPr="0030711D" w:rsidRDefault="002962ED" w:rsidP="004F2311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1133"/>
              <w:jc w:val="both"/>
            </w:pPr>
            <w:r w:rsidRPr="0030711D">
              <w:t>G</w:t>
            </w:r>
            <w:r w:rsidR="0024228B" w:rsidRPr="0030711D">
              <w:t xml:space="preserve">lobal, intercultural, democratic and radical education as </w:t>
            </w:r>
            <w:r w:rsidRPr="0030711D">
              <w:t>i</w:t>
            </w:r>
            <w:r w:rsidR="0024228B" w:rsidRPr="0030711D">
              <w:t>nstruments or an inclusive</w:t>
            </w:r>
            <w:r w:rsidR="0024228B" w:rsidRPr="0030711D">
              <w:rPr>
                <w:spacing w:val="-11"/>
              </w:rPr>
              <w:t xml:space="preserve"> </w:t>
            </w:r>
            <w:r w:rsidR="0024228B" w:rsidRPr="0030711D">
              <w:t>society;</w:t>
            </w:r>
          </w:p>
          <w:p w:rsidR="00101433" w:rsidRPr="0030711D" w:rsidRDefault="002962ED" w:rsidP="004F2311">
            <w:pPr>
              <w:pStyle w:val="TableParagraph"/>
              <w:numPr>
                <w:ilvl w:val="0"/>
                <w:numId w:val="2"/>
              </w:numPr>
              <w:tabs>
                <w:tab w:val="left" w:pos="1502"/>
                <w:tab w:val="left" w:pos="1503"/>
              </w:tabs>
              <w:ind w:right="425"/>
              <w:jc w:val="both"/>
            </w:pPr>
            <w:r w:rsidRPr="0030711D">
              <w:t>E</w:t>
            </w:r>
            <w:r w:rsidR="0024228B" w:rsidRPr="0030711D">
              <w:t xml:space="preserve">arly education </w:t>
            </w:r>
            <w:r w:rsidRPr="0030711D">
              <w:t>methods</w:t>
            </w:r>
            <w:r w:rsidR="0024228B" w:rsidRPr="0030711D">
              <w:t xml:space="preserve"> of upbringing children and educating youth </w:t>
            </w:r>
            <w:r w:rsidRPr="0030711D">
              <w:t>from</w:t>
            </w:r>
            <w:r w:rsidR="0024228B" w:rsidRPr="0030711D">
              <w:t xml:space="preserve"> post-conflict regions</w:t>
            </w:r>
            <w:r w:rsidRPr="0030711D">
              <w:t xml:space="preserve"> in own environment or the new country of residence- theory and practice</w:t>
            </w:r>
            <w:r w:rsidR="0024228B" w:rsidRPr="0030711D">
              <w:t>;</w:t>
            </w:r>
          </w:p>
          <w:p w:rsidR="002962ED" w:rsidRPr="0030711D" w:rsidRDefault="002962ED" w:rsidP="004F2311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425"/>
              <w:jc w:val="both"/>
            </w:pPr>
            <w:r w:rsidRPr="0030711D">
              <w:t>The role of governmental institutions and non-governmental organizations in receiving and empowering newcomers into the receiving society</w:t>
            </w:r>
          </w:p>
          <w:p w:rsidR="00101433" w:rsidRPr="0030711D" w:rsidRDefault="002962ED" w:rsidP="004F2311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425"/>
              <w:jc w:val="both"/>
            </w:pPr>
            <w:r w:rsidRPr="0030711D">
              <w:t>Skills and personal traits that support the re</w:t>
            </w:r>
            <w:r w:rsidR="0019341D" w:rsidRPr="0030711D">
              <w:t>-</w:t>
            </w:r>
            <w:r w:rsidRPr="0030711D">
              <w:t>adaptation and reintegration process.</w:t>
            </w:r>
          </w:p>
          <w:p w:rsidR="006853B4" w:rsidRPr="0030711D" w:rsidRDefault="00D20C4C" w:rsidP="0019341D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425"/>
              <w:jc w:val="both"/>
            </w:pPr>
            <w:r w:rsidRPr="0030711D">
              <w:t>Personal, family and group narration as an indicator for choosing strategies of behavior in the accepting society.</w:t>
            </w:r>
          </w:p>
          <w:p w:rsidR="0019341D" w:rsidRPr="0030711D" w:rsidRDefault="0019341D" w:rsidP="0019341D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425"/>
              <w:jc w:val="both"/>
            </w:pPr>
            <w:r w:rsidRPr="0030711D">
              <w:t xml:space="preserve">How being a member of minority influence social functioning of person/family </w:t>
            </w:r>
          </w:p>
          <w:p w:rsidR="006853B4" w:rsidRPr="0030711D" w:rsidRDefault="006853B4">
            <w:pPr>
              <w:pStyle w:val="TableParagraph"/>
              <w:ind w:right="117"/>
            </w:pPr>
          </w:p>
          <w:p w:rsidR="006853B4" w:rsidRPr="0030711D" w:rsidRDefault="006853B4" w:rsidP="00563642">
            <w:pPr>
              <w:pStyle w:val="TableParagraph"/>
              <w:ind w:left="0" w:right="117"/>
            </w:pPr>
          </w:p>
        </w:tc>
      </w:tr>
      <w:tr w:rsidR="00101433" w:rsidRPr="0030711D" w:rsidTr="00A43688">
        <w:trPr>
          <w:trHeight w:hRule="exact" w:val="5966"/>
        </w:trPr>
        <w:tc>
          <w:tcPr>
            <w:tcW w:w="2340" w:type="dxa"/>
          </w:tcPr>
          <w:p w:rsidR="00101433" w:rsidRPr="0030711D" w:rsidRDefault="0024228B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lastRenderedPageBreak/>
              <w:t>Required readings</w:t>
            </w:r>
          </w:p>
        </w:tc>
        <w:tc>
          <w:tcPr>
            <w:tcW w:w="8100" w:type="dxa"/>
          </w:tcPr>
          <w:p w:rsidR="001964D3" w:rsidRPr="0030711D" w:rsidRDefault="001964D3" w:rsidP="001964D3">
            <w:pPr>
              <w:pStyle w:val="TableParagraph"/>
              <w:ind w:right="188"/>
              <w:rPr>
                <w:sz w:val="20"/>
                <w:szCs w:val="20"/>
              </w:rPr>
            </w:pPr>
            <w:proofErr w:type="spellStart"/>
            <w:r w:rsidRPr="0030711D">
              <w:rPr>
                <w:sz w:val="20"/>
                <w:szCs w:val="20"/>
              </w:rPr>
              <w:t>Markowska-Manista</w:t>
            </w:r>
            <w:proofErr w:type="spellEnd"/>
            <w:r w:rsidRPr="0030711D">
              <w:rPr>
                <w:sz w:val="20"/>
                <w:szCs w:val="20"/>
              </w:rPr>
              <w:t xml:space="preserve">, U. (2016). </w:t>
            </w:r>
            <w:r w:rsidRPr="0030711D">
              <w:rPr>
                <w:i/>
                <w:sz w:val="20"/>
                <w:szCs w:val="20"/>
              </w:rPr>
              <w:t>The psychological and pedagogical contexts of reintegration and re-adaptation in the era of migration - an intercultural perspective</w:t>
            </w:r>
            <w:r w:rsidRPr="0030711D">
              <w:rPr>
                <w:sz w:val="20"/>
                <w:szCs w:val="20"/>
              </w:rPr>
              <w:t>. APS: Warsaw.</w:t>
            </w:r>
          </w:p>
          <w:p w:rsidR="001964D3" w:rsidRPr="0030711D" w:rsidRDefault="001964D3" w:rsidP="001964D3">
            <w:pPr>
              <w:pStyle w:val="TableParagraph"/>
              <w:ind w:right="188"/>
              <w:rPr>
                <w:sz w:val="20"/>
                <w:szCs w:val="20"/>
              </w:rPr>
            </w:pPr>
          </w:p>
          <w:p w:rsidR="001964D3" w:rsidRPr="0030711D" w:rsidRDefault="001964D3" w:rsidP="001964D3">
            <w:pPr>
              <w:pStyle w:val="TableParagraph"/>
              <w:ind w:right="256"/>
              <w:rPr>
                <w:color w:val="212121"/>
                <w:sz w:val="20"/>
                <w:szCs w:val="20"/>
              </w:rPr>
            </w:pPr>
            <w:r w:rsidRPr="0030711D">
              <w:rPr>
                <w:color w:val="212121"/>
                <w:sz w:val="20"/>
                <w:szCs w:val="20"/>
              </w:rPr>
              <w:t xml:space="preserve">MEICHENBAUM, Donald. Understanding resilience in children and adults: Implications for prevention and interventions. In: </w:t>
            </w:r>
            <w:r w:rsidRPr="0030711D">
              <w:rPr>
                <w:i/>
                <w:color w:val="212121"/>
                <w:sz w:val="20"/>
                <w:szCs w:val="20"/>
              </w:rPr>
              <w:t>paper delivered to the Melissa Institute Ninth Annual Conference on Resilience</w:t>
            </w:r>
            <w:r w:rsidRPr="0030711D">
              <w:rPr>
                <w:color w:val="212121"/>
                <w:sz w:val="20"/>
                <w:szCs w:val="20"/>
              </w:rPr>
              <w:t>. 2005.</w:t>
            </w:r>
          </w:p>
          <w:p w:rsidR="001964D3" w:rsidRPr="0030711D" w:rsidRDefault="001964D3" w:rsidP="001964D3">
            <w:pPr>
              <w:pStyle w:val="TableParagraph"/>
              <w:ind w:right="256"/>
              <w:rPr>
                <w:sz w:val="20"/>
                <w:szCs w:val="20"/>
              </w:rPr>
            </w:pPr>
          </w:p>
          <w:p w:rsidR="001964D3" w:rsidRPr="0030711D" w:rsidRDefault="001964D3" w:rsidP="001964D3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  <w:r w:rsidRPr="0030711D">
              <w:rPr>
                <w:color w:val="212121"/>
                <w:sz w:val="20"/>
                <w:szCs w:val="20"/>
              </w:rPr>
              <w:t xml:space="preserve">   UNGAR, Michael (ed.). </w:t>
            </w:r>
            <w:r w:rsidRPr="0030711D">
              <w:rPr>
                <w:i/>
                <w:color w:val="212121"/>
                <w:sz w:val="20"/>
                <w:szCs w:val="20"/>
              </w:rPr>
              <w:t>Handbook for working with children and youth: Pathways to resilience across cultures and contexts</w:t>
            </w:r>
            <w:r w:rsidRPr="0030711D">
              <w:rPr>
                <w:color w:val="212121"/>
                <w:sz w:val="20"/>
                <w:szCs w:val="20"/>
              </w:rPr>
              <w:t xml:space="preserve">. Sage Publications, 2005. DAVIDSON, Alastair. Migration in the Age of Genocide. 2015 (fragments) </w:t>
            </w:r>
            <w:r w:rsidRPr="0030711D">
              <w:rPr>
                <w:sz w:val="20"/>
                <w:szCs w:val="20"/>
              </w:rPr>
              <w:t>And chosen articles and chapters</w:t>
            </w:r>
          </w:p>
          <w:p w:rsidR="001964D3" w:rsidRPr="0030711D" w:rsidRDefault="001964D3" w:rsidP="00196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64D3" w:rsidRPr="0030711D" w:rsidRDefault="001964D3" w:rsidP="001964D3">
            <w:pPr>
              <w:pStyle w:val="TableParagraph"/>
              <w:ind w:right="515"/>
              <w:rPr>
                <w:sz w:val="20"/>
                <w:szCs w:val="20"/>
              </w:rPr>
            </w:pPr>
            <w:r w:rsidRPr="0030711D">
              <w:rPr>
                <w:color w:val="222222"/>
                <w:sz w:val="20"/>
                <w:szCs w:val="20"/>
                <w:shd w:val="clear" w:color="auto" w:fill="FFFFFF"/>
              </w:rPr>
              <w:t>HUIJSMANS, Roy. Children and young people in migration: A relational approach.</w:t>
            </w:r>
            <w:r w:rsidRPr="0030711D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30711D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Movement, Mobilities, and Journeys</w:t>
            </w:r>
            <w:r w:rsidRPr="0030711D">
              <w:rPr>
                <w:color w:val="222222"/>
                <w:sz w:val="20"/>
                <w:szCs w:val="20"/>
                <w:shd w:val="clear" w:color="auto" w:fill="FFFFFF"/>
              </w:rPr>
              <w:t>, 2017, pp. 45-66.</w:t>
            </w:r>
          </w:p>
          <w:p w:rsidR="001964D3" w:rsidRPr="0030711D" w:rsidRDefault="001964D3" w:rsidP="001964D3">
            <w:pPr>
              <w:pStyle w:val="TableParagraph"/>
              <w:ind w:right="515"/>
              <w:rPr>
                <w:sz w:val="20"/>
                <w:szCs w:val="20"/>
              </w:rPr>
            </w:pPr>
          </w:p>
          <w:p w:rsidR="001964D3" w:rsidRPr="0030711D" w:rsidRDefault="001964D3" w:rsidP="001964D3">
            <w:pPr>
              <w:pStyle w:val="TableParagraph"/>
              <w:ind w:right="515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30711D">
              <w:rPr>
                <w:color w:val="222222"/>
                <w:sz w:val="20"/>
                <w:szCs w:val="20"/>
                <w:shd w:val="clear" w:color="auto" w:fill="FFFFFF"/>
              </w:rPr>
              <w:t xml:space="preserve">LIEBEL, Manfred; BUDDE, Rebecca. Other Children, Other Youth: Against </w:t>
            </w:r>
          </w:p>
          <w:p w:rsidR="001964D3" w:rsidRPr="0030711D" w:rsidRDefault="001964D3" w:rsidP="001964D3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30711D">
              <w:rPr>
                <w:color w:val="222222"/>
                <w:sz w:val="20"/>
                <w:szCs w:val="20"/>
                <w:shd w:val="clear" w:color="auto" w:fill="FFFFFF"/>
              </w:rPr>
              <w:t>Eurocentrism in Childhood and Youth Research. In:</w:t>
            </w:r>
            <w:r w:rsidRPr="0030711D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30711D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‘Children Out of Place’ and Human Rights</w:t>
            </w:r>
            <w:r w:rsidRPr="0030711D">
              <w:rPr>
                <w:color w:val="222222"/>
                <w:sz w:val="20"/>
                <w:szCs w:val="20"/>
                <w:shd w:val="clear" w:color="auto" w:fill="FFFFFF"/>
              </w:rPr>
              <w:t>. Springer International Publishing, 2017. pp. 119-136.</w:t>
            </w:r>
          </w:p>
          <w:p w:rsidR="001964D3" w:rsidRPr="0030711D" w:rsidRDefault="001964D3" w:rsidP="001964D3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1964D3" w:rsidRPr="0030711D" w:rsidRDefault="001964D3" w:rsidP="001964D3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30711D">
              <w:rPr>
                <w:color w:val="222222"/>
                <w:sz w:val="20"/>
                <w:szCs w:val="20"/>
                <w:shd w:val="clear" w:color="auto" w:fill="FFFFFF"/>
              </w:rPr>
              <w:t xml:space="preserve">  CUTTER, Susan L. The forgotten casualties redux: Women, children, and disaster risk.</w:t>
            </w:r>
            <w:r w:rsidRPr="0030711D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30711D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Global Environmental Change</w:t>
            </w:r>
            <w:r w:rsidRPr="0030711D">
              <w:rPr>
                <w:color w:val="222222"/>
                <w:sz w:val="20"/>
                <w:szCs w:val="20"/>
                <w:shd w:val="clear" w:color="auto" w:fill="FFFFFF"/>
              </w:rPr>
              <w:t>, 2017, 42, pp. 117-121.</w:t>
            </w:r>
          </w:p>
          <w:p w:rsidR="001964D3" w:rsidRPr="0030711D" w:rsidRDefault="001964D3" w:rsidP="001964D3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101433" w:rsidRPr="0030711D" w:rsidRDefault="001964D3" w:rsidP="00563642">
            <w:pPr>
              <w:pStyle w:val="TableParagraph"/>
              <w:ind w:right="515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30711D">
              <w:rPr>
                <w:color w:val="222222"/>
                <w:sz w:val="20"/>
                <w:szCs w:val="20"/>
                <w:shd w:val="clear" w:color="auto" w:fill="FFFFFF"/>
              </w:rPr>
              <w:t>SIME, Daniela. Migrant Children in Cities: The Spatial Constructions of Their Everyday Lives.</w:t>
            </w:r>
            <w:r w:rsidRPr="0030711D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30711D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Movement, Mobilities, and Journeys</w:t>
            </w:r>
            <w:r w:rsidRPr="0030711D">
              <w:rPr>
                <w:color w:val="222222"/>
                <w:sz w:val="20"/>
                <w:szCs w:val="20"/>
                <w:shd w:val="clear" w:color="auto" w:fill="FFFFFF"/>
              </w:rPr>
              <w:t>, 2017, pp. 271-288.</w:t>
            </w:r>
          </w:p>
          <w:p w:rsidR="00A43688" w:rsidRPr="0030711D" w:rsidRDefault="00A43688" w:rsidP="00563642">
            <w:pPr>
              <w:pStyle w:val="TableParagraph"/>
              <w:ind w:right="515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A43688" w:rsidRPr="0030711D" w:rsidRDefault="00A43688" w:rsidP="00563642">
            <w:pPr>
              <w:pStyle w:val="TableParagraph"/>
              <w:ind w:right="515"/>
              <w:rPr>
                <w:sz w:val="20"/>
                <w:szCs w:val="20"/>
              </w:rPr>
            </w:pPr>
            <w:r w:rsidRPr="0030711D">
              <w:rPr>
                <w:b/>
                <w:bCs/>
                <w:color w:val="000000"/>
                <w:sz w:val="20"/>
                <w:szCs w:val="20"/>
              </w:rPr>
              <w:t>Other publications will be proposed during the seminar</w:t>
            </w:r>
          </w:p>
        </w:tc>
      </w:tr>
      <w:tr w:rsidR="00101433" w:rsidRPr="0030711D">
        <w:trPr>
          <w:trHeight w:hRule="exact" w:val="286"/>
        </w:trPr>
        <w:tc>
          <w:tcPr>
            <w:tcW w:w="2340" w:type="dxa"/>
          </w:tcPr>
          <w:p w:rsidR="00101433" w:rsidRPr="0030711D" w:rsidRDefault="0024228B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Teaching methods</w:t>
            </w:r>
          </w:p>
        </w:tc>
        <w:tc>
          <w:tcPr>
            <w:tcW w:w="8100" w:type="dxa"/>
          </w:tcPr>
          <w:p w:rsidR="00101433" w:rsidRPr="0030711D" w:rsidRDefault="0024228B">
            <w:pPr>
              <w:pStyle w:val="TableParagraph"/>
              <w:spacing w:line="273" w:lineRule="exact"/>
              <w:ind w:right="90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Mini lectures, discussion based on reading, presentations, group work</w:t>
            </w:r>
          </w:p>
        </w:tc>
      </w:tr>
      <w:tr w:rsidR="00101433" w:rsidRPr="0030711D">
        <w:trPr>
          <w:trHeight w:hRule="exact" w:val="286"/>
        </w:trPr>
        <w:tc>
          <w:tcPr>
            <w:tcW w:w="2340" w:type="dxa"/>
          </w:tcPr>
          <w:p w:rsidR="00101433" w:rsidRPr="0030711D" w:rsidRDefault="0024228B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Prerequisites</w:t>
            </w:r>
          </w:p>
        </w:tc>
        <w:tc>
          <w:tcPr>
            <w:tcW w:w="8100" w:type="dxa"/>
          </w:tcPr>
          <w:p w:rsidR="00101433" w:rsidRPr="0030711D" w:rsidRDefault="00497532">
            <w:pPr>
              <w:pStyle w:val="TableParagraph"/>
              <w:spacing w:line="273" w:lineRule="exact"/>
              <w:ind w:right="90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English</w:t>
            </w:r>
          </w:p>
        </w:tc>
      </w:tr>
      <w:tr w:rsidR="006A6A61" w:rsidRPr="0030711D">
        <w:trPr>
          <w:trHeight w:hRule="exact" w:val="286"/>
        </w:trPr>
        <w:tc>
          <w:tcPr>
            <w:tcW w:w="2340" w:type="dxa"/>
          </w:tcPr>
          <w:p w:rsidR="006A6A61" w:rsidRPr="0030711D" w:rsidRDefault="006A6A61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Assessment</w:t>
            </w:r>
          </w:p>
        </w:tc>
        <w:tc>
          <w:tcPr>
            <w:tcW w:w="8100" w:type="dxa"/>
          </w:tcPr>
          <w:p w:rsidR="006A6A61" w:rsidRPr="0030711D" w:rsidRDefault="0019341D">
            <w:pPr>
              <w:pStyle w:val="TableParagraph"/>
              <w:spacing w:line="273" w:lineRule="exact"/>
              <w:ind w:right="90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Active participation, short written homework</w:t>
            </w:r>
          </w:p>
        </w:tc>
      </w:tr>
      <w:tr w:rsidR="006A6A61" w:rsidRPr="0030711D">
        <w:trPr>
          <w:trHeight w:hRule="exact" w:val="286"/>
        </w:trPr>
        <w:tc>
          <w:tcPr>
            <w:tcW w:w="2340" w:type="dxa"/>
          </w:tcPr>
          <w:p w:rsidR="006A6A61" w:rsidRPr="0030711D" w:rsidRDefault="006A6A61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Teaching language</w:t>
            </w:r>
          </w:p>
        </w:tc>
        <w:tc>
          <w:tcPr>
            <w:tcW w:w="8100" w:type="dxa"/>
          </w:tcPr>
          <w:p w:rsidR="006A6A61" w:rsidRPr="0030711D" w:rsidRDefault="006A6A61">
            <w:pPr>
              <w:pStyle w:val="TableParagraph"/>
              <w:spacing w:line="273" w:lineRule="exact"/>
              <w:ind w:right="90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English</w:t>
            </w:r>
          </w:p>
        </w:tc>
      </w:tr>
      <w:tr w:rsidR="00A51380" w:rsidRPr="00010C78" w:rsidTr="006A6A61">
        <w:trPr>
          <w:trHeight w:hRule="exact" w:val="548"/>
        </w:trPr>
        <w:tc>
          <w:tcPr>
            <w:tcW w:w="2340" w:type="dxa"/>
          </w:tcPr>
          <w:p w:rsidR="00A51380" w:rsidRPr="0030711D" w:rsidRDefault="006A6A61" w:rsidP="006A6A61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30711D">
              <w:rPr>
                <w:sz w:val="20"/>
                <w:szCs w:val="20"/>
              </w:rPr>
              <w:t>Contact person for further information</w:t>
            </w:r>
          </w:p>
        </w:tc>
        <w:tc>
          <w:tcPr>
            <w:tcW w:w="8100" w:type="dxa"/>
          </w:tcPr>
          <w:p w:rsidR="006A6A61" w:rsidRPr="0030711D" w:rsidRDefault="0019341D" w:rsidP="006A6A61">
            <w:pPr>
              <w:pStyle w:val="TableParagraph"/>
              <w:spacing w:line="273" w:lineRule="exact"/>
              <w:ind w:right="90"/>
              <w:rPr>
                <w:sz w:val="20"/>
                <w:szCs w:val="20"/>
                <w:lang w:val="pl-PL"/>
              </w:rPr>
            </w:pPr>
            <w:r w:rsidRPr="0030711D">
              <w:rPr>
                <w:sz w:val="20"/>
                <w:szCs w:val="20"/>
                <w:lang w:val="pl-PL"/>
              </w:rPr>
              <w:t>Dominika Zakrzewska-Olędzka</w:t>
            </w:r>
            <w:r w:rsidR="006A6A61" w:rsidRPr="0030711D">
              <w:rPr>
                <w:sz w:val="20"/>
                <w:szCs w:val="20"/>
                <w:lang w:val="pl-PL"/>
              </w:rPr>
              <w:t xml:space="preserve">: </w:t>
            </w:r>
            <w:hyperlink r:id="rId5" w:history="1">
              <w:r w:rsidRPr="0030711D">
                <w:rPr>
                  <w:rStyle w:val="Hipercze"/>
                  <w:sz w:val="20"/>
                  <w:szCs w:val="20"/>
                  <w:lang w:val="pl-PL"/>
                </w:rPr>
                <w:t>dzakrzewska@aps.edu.pl</w:t>
              </w:r>
            </w:hyperlink>
            <w:r w:rsidR="006A6A61" w:rsidRPr="0030711D">
              <w:rPr>
                <w:sz w:val="20"/>
                <w:szCs w:val="20"/>
                <w:lang w:val="pl-PL"/>
              </w:rPr>
              <w:t xml:space="preserve">  +48 </w:t>
            </w:r>
            <w:r w:rsidRPr="0030711D">
              <w:rPr>
                <w:sz w:val="20"/>
                <w:szCs w:val="20"/>
                <w:lang w:val="pl-PL"/>
              </w:rPr>
              <w:t>535927599</w:t>
            </w:r>
          </w:p>
        </w:tc>
      </w:tr>
    </w:tbl>
    <w:p w:rsidR="00101433" w:rsidRPr="0019341D" w:rsidRDefault="00101433">
      <w:pPr>
        <w:spacing w:line="273" w:lineRule="exact"/>
        <w:rPr>
          <w:rFonts w:asciiTheme="majorHAnsi" w:hAnsiTheme="majorHAnsi"/>
          <w:sz w:val="18"/>
          <w:szCs w:val="18"/>
          <w:lang w:val="pl-PL"/>
        </w:rPr>
        <w:sectPr w:rsidR="00101433" w:rsidRPr="0019341D" w:rsidSect="00D20C4C">
          <w:type w:val="continuous"/>
          <w:pgSz w:w="11910" w:h="16840"/>
          <w:pgMar w:top="851" w:right="620" w:bottom="280" w:left="600" w:header="708" w:footer="708" w:gutter="0"/>
          <w:cols w:space="708"/>
        </w:sectPr>
      </w:pPr>
    </w:p>
    <w:p w:rsidR="0024228B" w:rsidRPr="00A51380" w:rsidRDefault="0024228B">
      <w:pPr>
        <w:rPr>
          <w:rFonts w:asciiTheme="majorHAnsi" w:hAnsiTheme="majorHAnsi"/>
          <w:sz w:val="18"/>
          <w:szCs w:val="18"/>
          <w:lang w:val="pl-PL"/>
        </w:rPr>
      </w:pPr>
    </w:p>
    <w:sectPr w:rsidR="0024228B" w:rsidRPr="00A51380">
      <w:pgSz w:w="11910" w:h="16840"/>
      <w:pgMar w:top="1420" w:right="6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2E4"/>
    <w:multiLevelType w:val="hybridMultilevel"/>
    <w:tmpl w:val="32A2DF36"/>
    <w:lvl w:ilvl="0" w:tplc="04150001">
      <w:start w:val="1"/>
      <w:numFmt w:val="bullet"/>
      <w:lvlText w:val=""/>
      <w:lvlJc w:val="left"/>
      <w:pPr>
        <w:ind w:left="823" w:hanging="680"/>
      </w:pPr>
      <w:rPr>
        <w:rFonts w:ascii="Symbol" w:hAnsi="Symbol" w:hint="default"/>
        <w:spacing w:val="-2"/>
        <w:w w:val="99"/>
        <w:sz w:val="24"/>
        <w:szCs w:val="24"/>
      </w:rPr>
    </w:lvl>
    <w:lvl w:ilvl="1" w:tplc="6FB4D21C">
      <w:numFmt w:val="bullet"/>
      <w:lvlText w:val="•"/>
      <w:lvlJc w:val="left"/>
      <w:pPr>
        <w:ind w:left="1547" w:hanging="680"/>
      </w:pPr>
      <w:rPr>
        <w:rFonts w:hint="default"/>
      </w:rPr>
    </w:lvl>
    <w:lvl w:ilvl="2" w:tplc="1494B3FE">
      <w:numFmt w:val="bullet"/>
      <w:lvlText w:val="•"/>
      <w:lvlJc w:val="left"/>
      <w:pPr>
        <w:ind w:left="2274" w:hanging="680"/>
      </w:pPr>
      <w:rPr>
        <w:rFonts w:hint="default"/>
      </w:rPr>
    </w:lvl>
    <w:lvl w:ilvl="3" w:tplc="CB42322A">
      <w:numFmt w:val="bullet"/>
      <w:lvlText w:val="•"/>
      <w:lvlJc w:val="left"/>
      <w:pPr>
        <w:ind w:left="3001" w:hanging="680"/>
      </w:pPr>
      <w:rPr>
        <w:rFonts w:hint="default"/>
      </w:rPr>
    </w:lvl>
    <w:lvl w:ilvl="4" w:tplc="F01C04F4">
      <w:numFmt w:val="bullet"/>
      <w:lvlText w:val="•"/>
      <w:lvlJc w:val="left"/>
      <w:pPr>
        <w:ind w:left="3728" w:hanging="680"/>
      </w:pPr>
      <w:rPr>
        <w:rFonts w:hint="default"/>
      </w:rPr>
    </w:lvl>
    <w:lvl w:ilvl="5" w:tplc="5A225D62">
      <w:numFmt w:val="bullet"/>
      <w:lvlText w:val="•"/>
      <w:lvlJc w:val="left"/>
      <w:pPr>
        <w:ind w:left="4455" w:hanging="680"/>
      </w:pPr>
      <w:rPr>
        <w:rFonts w:hint="default"/>
      </w:rPr>
    </w:lvl>
    <w:lvl w:ilvl="6" w:tplc="F95A95D0">
      <w:numFmt w:val="bullet"/>
      <w:lvlText w:val="•"/>
      <w:lvlJc w:val="left"/>
      <w:pPr>
        <w:ind w:left="5182" w:hanging="680"/>
      </w:pPr>
      <w:rPr>
        <w:rFonts w:hint="default"/>
      </w:rPr>
    </w:lvl>
    <w:lvl w:ilvl="7" w:tplc="D92CFF38">
      <w:numFmt w:val="bullet"/>
      <w:lvlText w:val="•"/>
      <w:lvlJc w:val="left"/>
      <w:pPr>
        <w:ind w:left="5909" w:hanging="680"/>
      </w:pPr>
      <w:rPr>
        <w:rFonts w:hint="default"/>
      </w:rPr>
    </w:lvl>
    <w:lvl w:ilvl="8" w:tplc="9160A114">
      <w:numFmt w:val="bullet"/>
      <w:lvlText w:val="•"/>
      <w:lvlJc w:val="left"/>
      <w:pPr>
        <w:ind w:left="6636" w:hanging="680"/>
      </w:pPr>
      <w:rPr>
        <w:rFonts w:hint="default"/>
      </w:rPr>
    </w:lvl>
  </w:abstractNum>
  <w:abstractNum w:abstractNumId="1" w15:restartNumberingAfterBreak="0">
    <w:nsid w:val="6C136884"/>
    <w:multiLevelType w:val="hybridMultilevel"/>
    <w:tmpl w:val="339685EA"/>
    <w:lvl w:ilvl="0" w:tplc="DFA69804">
      <w:start w:val="1"/>
      <w:numFmt w:val="decimal"/>
      <w:lvlText w:val="%1."/>
      <w:lvlJc w:val="left"/>
      <w:pPr>
        <w:ind w:left="823" w:hanging="680"/>
      </w:pPr>
      <w:rPr>
        <w:rFonts w:ascii="Times New Roman" w:eastAsia="Times New Roman" w:hAnsi="Times New Roman" w:cs="Times New Roman"/>
        <w:spacing w:val="-2"/>
        <w:w w:val="99"/>
        <w:sz w:val="24"/>
        <w:szCs w:val="24"/>
      </w:rPr>
    </w:lvl>
    <w:lvl w:ilvl="1" w:tplc="6FB4D21C">
      <w:numFmt w:val="bullet"/>
      <w:lvlText w:val="•"/>
      <w:lvlJc w:val="left"/>
      <w:pPr>
        <w:ind w:left="1547" w:hanging="680"/>
      </w:pPr>
      <w:rPr>
        <w:rFonts w:hint="default"/>
      </w:rPr>
    </w:lvl>
    <w:lvl w:ilvl="2" w:tplc="1494B3FE">
      <w:numFmt w:val="bullet"/>
      <w:lvlText w:val="•"/>
      <w:lvlJc w:val="left"/>
      <w:pPr>
        <w:ind w:left="2274" w:hanging="680"/>
      </w:pPr>
      <w:rPr>
        <w:rFonts w:hint="default"/>
      </w:rPr>
    </w:lvl>
    <w:lvl w:ilvl="3" w:tplc="CB42322A">
      <w:numFmt w:val="bullet"/>
      <w:lvlText w:val="•"/>
      <w:lvlJc w:val="left"/>
      <w:pPr>
        <w:ind w:left="3001" w:hanging="680"/>
      </w:pPr>
      <w:rPr>
        <w:rFonts w:hint="default"/>
      </w:rPr>
    </w:lvl>
    <w:lvl w:ilvl="4" w:tplc="F01C04F4">
      <w:numFmt w:val="bullet"/>
      <w:lvlText w:val="•"/>
      <w:lvlJc w:val="left"/>
      <w:pPr>
        <w:ind w:left="3728" w:hanging="680"/>
      </w:pPr>
      <w:rPr>
        <w:rFonts w:hint="default"/>
      </w:rPr>
    </w:lvl>
    <w:lvl w:ilvl="5" w:tplc="5A225D62">
      <w:numFmt w:val="bullet"/>
      <w:lvlText w:val="•"/>
      <w:lvlJc w:val="left"/>
      <w:pPr>
        <w:ind w:left="4455" w:hanging="680"/>
      </w:pPr>
      <w:rPr>
        <w:rFonts w:hint="default"/>
      </w:rPr>
    </w:lvl>
    <w:lvl w:ilvl="6" w:tplc="F95A95D0">
      <w:numFmt w:val="bullet"/>
      <w:lvlText w:val="•"/>
      <w:lvlJc w:val="left"/>
      <w:pPr>
        <w:ind w:left="5182" w:hanging="680"/>
      </w:pPr>
      <w:rPr>
        <w:rFonts w:hint="default"/>
      </w:rPr>
    </w:lvl>
    <w:lvl w:ilvl="7" w:tplc="D92CFF38">
      <w:numFmt w:val="bullet"/>
      <w:lvlText w:val="•"/>
      <w:lvlJc w:val="left"/>
      <w:pPr>
        <w:ind w:left="5909" w:hanging="680"/>
      </w:pPr>
      <w:rPr>
        <w:rFonts w:hint="default"/>
      </w:rPr>
    </w:lvl>
    <w:lvl w:ilvl="8" w:tplc="9160A114">
      <w:numFmt w:val="bullet"/>
      <w:lvlText w:val="•"/>
      <w:lvlJc w:val="left"/>
      <w:pPr>
        <w:ind w:left="6636" w:hanging="6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33"/>
    <w:rsid w:val="00010C78"/>
    <w:rsid w:val="00032BF9"/>
    <w:rsid w:val="00101433"/>
    <w:rsid w:val="00162ED3"/>
    <w:rsid w:val="0019341D"/>
    <w:rsid w:val="001964D3"/>
    <w:rsid w:val="001F356C"/>
    <w:rsid w:val="0024228B"/>
    <w:rsid w:val="00244221"/>
    <w:rsid w:val="002962ED"/>
    <w:rsid w:val="0030711D"/>
    <w:rsid w:val="00311B4A"/>
    <w:rsid w:val="0039737D"/>
    <w:rsid w:val="00411228"/>
    <w:rsid w:val="004405CF"/>
    <w:rsid w:val="00472CB8"/>
    <w:rsid w:val="00497532"/>
    <w:rsid w:val="004F2311"/>
    <w:rsid w:val="00563642"/>
    <w:rsid w:val="00684C65"/>
    <w:rsid w:val="006853B4"/>
    <w:rsid w:val="006A6A61"/>
    <w:rsid w:val="00707880"/>
    <w:rsid w:val="00781666"/>
    <w:rsid w:val="00784C54"/>
    <w:rsid w:val="007F4E6D"/>
    <w:rsid w:val="008C6327"/>
    <w:rsid w:val="008D0A0F"/>
    <w:rsid w:val="00970C97"/>
    <w:rsid w:val="009E3744"/>
    <w:rsid w:val="00A43688"/>
    <w:rsid w:val="00A51380"/>
    <w:rsid w:val="00AC1B61"/>
    <w:rsid w:val="00AC1C14"/>
    <w:rsid w:val="00C02A0A"/>
    <w:rsid w:val="00D20C4C"/>
    <w:rsid w:val="00D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2A78"/>
  <w15:docId w15:val="{03FED266-9E73-4910-8399-E8D5D0E6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6"/>
      <w:ind w:left="3935" w:right="376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 w:right="88"/>
    </w:pPr>
  </w:style>
  <w:style w:type="character" w:styleId="Hipercze">
    <w:name w:val="Hyperlink"/>
    <w:rsid w:val="00781666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964D3"/>
    <w:pPr>
      <w:keepNext/>
      <w:widowControl/>
      <w:suppressAutoHyphens/>
      <w:spacing w:before="240" w:after="120"/>
    </w:pPr>
    <w:rPr>
      <w:rFonts w:ascii="Arial" w:eastAsia="MS Mincho" w:hAnsi="Arial" w:cs="Tahoma"/>
      <w:sz w:val="28"/>
      <w:szCs w:val="28"/>
      <w:lang w:val="pl-PL" w:eastAsia="ar-SA"/>
    </w:rPr>
  </w:style>
  <w:style w:type="character" w:customStyle="1" w:styleId="apple-converted-space">
    <w:name w:val="apple-converted-space"/>
    <w:basedOn w:val="Domylnaczcionkaakapitu"/>
    <w:rsid w:val="001964D3"/>
  </w:style>
  <w:style w:type="character" w:styleId="Nierozpoznanawzmianka">
    <w:name w:val="Unresolved Mention"/>
    <w:basedOn w:val="Domylnaczcionkaakapitu"/>
    <w:uiPriority w:val="99"/>
    <w:semiHidden/>
    <w:unhideWhenUsed/>
    <w:rsid w:val="0019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Dominika Zakrzewska-Olędzka</cp:lastModifiedBy>
  <cp:revision>4</cp:revision>
  <dcterms:created xsi:type="dcterms:W3CDTF">2020-03-15T17:21:00Z</dcterms:created>
  <dcterms:modified xsi:type="dcterms:W3CDTF">2020-03-15T17:37:00Z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2017-03-15T00:00:00Z</vt:filetime>
  </property>
</Properties>
</file>