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6F" w:rsidRPr="00BB5053" w:rsidRDefault="005A356F" w:rsidP="006D4682">
      <w:pPr>
        <w:spacing w:after="120"/>
        <w:ind w:hanging="181"/>
        <w:rPr>
          <w:lang w:val="en-US"/>
        </w:rPr>
      </w:pPr>
      <w:r>
        <w:rPr>
          <w:lang w:val="en-US"/>
        </w:rPr>
        <w:t xml:space="preserve">The </w:t>
      </w:r>
      <w:smartTag w:uri="urn:schemas-microsoft-com:office:smarttags" w:element="PlaceName">
        <w:smartTag w:uri="urn:schemas-microsoft-com:office:smarttags" w:element="place">
          <w:r>
            <w:rPr>
              <w:lang w:val="en-US"/>
            </w:rPr>
            <w:t>Maria</w:t>
          </w:r>
        </w:smartTag>
        <w:r>
          <w:rPr>
            <w:lang w:val="en-US"/>
          </w:rPr>
          <w:t xml:space="preserve"> </w:t>
        </w:r>
        <w:smartTag w:uri="urn:schemas-microsoft-com:office:smarttags" w:element="PlaceName">
          <w:r>
            <w:rPr>
              <w:lang w:val="en-US"/>
            </w:rPr>
            <w:t>Grzegorzewska</w:t>
          </w:r>
        </w:smartTag>
        <w:r>
          <w:rPr>
            <w:lang w:val="en-US"/>
          </w:rPr>
          <w:t xml:space="preserve"> </w:t>
        </w:r>
        <w:smartTag w:uri="urn:schemas-microsoft-com:office:smarttags" w:element="PlaceType">
          <w:r>
            <w:rPr>
              <w:lang w:val="en-US"/>
            </w:rPr>
            <w:t>University</w:t>
          </w:r>
        </w:smartTag>
      </w:smartTag>
    </w:p>
    <w:p w:rsidR="005A356F" w:rsidRPr="0034750F" w:rsidRDefault="005A356F" w:rsidP="0034750F">
      <w:pPr>
        <w:spacing w:after="240"/>
        <w:jc w:val="center"/>
        <w:rPr>
          <w:b/>
          <w:sz w:val="32"/>
          <w:szCs w:val="32"/>
          <w:lang w:val="en-US"/>
        </w:rPr>
      </w:pPr>
      <w:r w:rsidRPr="0034750F">
        <w:rPr>
          <w:b/>
          <w:sz w:val="32"/>
          <w:szCs w:val="32"/>
          <w:lang w:val="en-US"/>
        </w:rPr>
        <w:t>Courses in foreign languages</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8640"/>
      </w:tblGrid>
      <w:tr w:rsidR="005A356F" w:rsidTr="002654D6">
        <w:tc>
          <w:tcPr>
            <w:tcW w:w="2340" w:type="dxa"/>
          </w:tcPr>
          <w:p w:rsidR="005A356F" w:rsidRDefault="005A356F">
            <w:r>
              <w:t>Academic year</w:t>
            </w:r>
          </w:p>
        </w:tc>
        <w:tc>
          <w:tcPr>
            <w:tcW w:w="8640" w:type="dxa"/>
          </w:tcPr>
          <w:p w:rsidR="005A356F" w:rsidRPr="002654D6" w:rsidRDefault="005A356F">
            <w:pPr>
              <w:rPr>
                <w:b/>
              </w:rPr>
            </w:pPr>
            <w:r>
              <w:rPr>
                <w:b/>
              </w:rPr>
              <w:t>2019-2020</w:t>
            </w:r>
          </w:p>
        </w:tc>
      </w:tr>
      <w:tr w:rsidR="005A356F" w:rsidTr="002654D6">
        <w:tc>
          <w:tcPr>
            <w:tcW w:w="2340" w:type="dxa"/>
          </w:tcPr>
          <w:p w:rsidR="005A356F" w:rsidRDefault="005A356F">
            <w:r>
              <w:t>Area subject code</w:t>
            </w:r>
          </w:p>
        </w:tc>
        <w:tc>
          <w:tcPr>
            <w:tcW w:w="8640" w:type="dxa"/>
          </w:tcPr>
          <w:p w:rsidR="005A356F" w:rsidRDefault="005A356F">
            <w:r>
              <w:t>-</w:t>
            </w:r>
          </w:p>
        </w:tc>
      </w:tr>
      <w:tr w:rsidR="005A356F" w:rsidRPr="0018209A" w:rsidTr="002654D6">
        <w:tc>
          <w:tcPr>
            <w:tcW w:w="2340" w:type="dxa"/>
          </w:tcPr>
          <w:p w:rsidR="005A356F" w:rsidRDefault="005A356F">
            <w:r>
              <w:t>Title of course</w:t>
            </w:r>
          </w:p>
        </w:tc>
        <w:tc>
          <w:tcPr>
            <w:tcW w:w="8640" w:type="dxa"/>
          </w:tcPr>
          <w:p w:rsidR="005A356F" w:rsidRPr="009C0491" w:rsidRDefault="005A356F" w:rsidP="00434409">
            <w:pPr>
              <w:rPr>
                <w:b/>
                <w:sz w:val="28"/>
                <w:szCs w:val="28"/>
                <w:lang w:val="en-US"/>
              </w:rPr>
            </w:pPr>
            <w:r w:rsidRPr="009C0491">
              <w:rPr>
                <w:b/>
                <w:sz w:val="28"/>
                <w:szCs w:val="28"/>
                <w:lang w:val="en-US"/>
              </w:rPr>
              <w:t xml:space="preserve">Human Rights, Minority Rights, Children's Rights </w:t>
            </w:r>
          </w:p>
          <w:p w:rsidR="005A356F" w:rsidRPr="00434409" w:rsidRDefault="005A356F" w:rsidP="00434409">
            <w:pPr>
              <w:rPr>
                <w:lang w:val="en-US"/>
              </w:rPr>
            </w:pPr>
          </w:p>
        </w:tc>
      </w:tr>
      <w:tr w:rsidR="005A356F" w:rsidRPr="00010E85" w:rsidTr="002654D6">
        <w:tc>
          <w:tcPr>
            <w:tcW w:w="2340" w:type="dxa"/>
          </w:tcPr>
          <w:p w:rsidR="005A356F" w:rsidRDefault="005A356F">
            <w:r>
              <w:t>Level</w:t>
            </w:r>
          </w:p>
        </w:tc>
        <w:tc>
          <w:tcPr>
            <w:tcW w:w="8640" w:type="dxa"/>
          </w:tcPr>
          <w:p w:rsidR="005A356F" w:rsidRPr="002654D6" w:rsidRDefault="005A356F">
            <w:pPr>
              <w:rPr>
                <w:lang w:val="en-US"/>
              </w:rPr>
            </w:pPr>
            <w:r w:rsidRPr="002654D6">
              <w:rPr>
                <w:b/>
                <w:lang w:val="en-US"/>
              </w:rPr>
              <w:t xml:space="preserve">I  (undergraduate – B.A.)  </w:t>
            </w:r>
            <w:r w:rsidRPr="002654D6">
              <w:rPr>
                <w:rFonts w:ascii="Arial" w:hAnsi="Arial" w:cs="Arial"/>
                <w:b/>
                <w:sz w:val="28"/>
                <w:szCs w:val="28"/>
                <w:lang w:val="en-US"/>
              </w:rPr>
              <w:t>√</w:t>
            </w:r>
            <w:r w:rsidRPr="002654D6">
              <w:rPr>
                <w:b/>
                <w:sz w:val="28"/>
                <w:szCs w:val="28"/>
                <w:lang w:val="en-US"/>
              </w:rPr>
              <w:t xml:space="preserve"> </w:t>
            </w:r>
            <w:r w:rsidRPr="002654D6">
              <w:rPr>
                <w:b/>
                <w:lang w:val="en-US"/>
              </w:rPr>
              <w:t xml:space="preserve">   II   (graduate – M.A.) </w:t>
            </w:r>
            <w:r w:rsidRPr="002654D6">
              <w:rPr>
                <w:lang w:val="en-US"/>
              </w:rPr>
              <w:t xml:space="preserve">  </w:t>
            </w:r>
            <w:r w:rsidRPr="002654D6">
              <w:rPr>
                <w:rFonts w:ascii="Arial" w:hAnsi="Arial" w:cs="Arial"/>
                <w:b/>
                <w:sz w:val="28"/>
                <w:szCs w:val="28"/>
                <w:lang w:val="en-US"/>
              </w:rPr>
              <w:t>√</w:t>
            </w:r>
            <w:r w:rsidRPr="002654D6">
              <w:rPr>
                <w:sz w:val="28"/>
                <w:szCs w:val="28"/>
                <w:lang w:val="en-US"/>
              </w:rPr>
              <w:t xml:space="preserve">  </w:t>
            </w:r>
            <w:r w:rsidRPr="002654D6">
              <w:rPr>
                <w:lang w:val="en-US"/>
              </w:rPr>
              <w:t xml:space="preserve">      III  postgraduate  </w:t>
            </w:r>
          </w:p>
          <w:p w:rsidR="005A356F" w:rsidRPr="002654D6" w:rsidRDefault="005A356F">
            <w:pPr>
              <w:rPr>
                <w:lang w:val="en-US"/>
              </w:rPr>
            </w:pPr>
            <w:r w:rsidRPr="002654D6">
              <w:rPr>
                <w:lang w:val="en-US"/>
              </w:rPr>
              <w:t xml:space="preserve">                                       (please check </w:t>
            </w:r>
            <w:r w:rsidRPr="002654D6">
              <w:rPr>
                <w:rFonts w:ascii="Arial" w:hAnsi="Arial" w:cs="Arial"/>
                <w:b/>
                <w:lang w:val="en-US"/>
              </w:rPr>
              <w:t>√</w:t>
            </w:r>
            <w:r w:rsidRPr="002654D6">
              <w:rPr>
                <w:rFonts w:ascii="Arial" w:hAnsi="Arial" w:cs="Arial"/>
                <w:lang w:val="en-US"/>
              </w:rPr>
              <w:t>)</w:t>
            </w:r>
          </w:p>
        </w:tc>
      </w:tr>
      <w:tr w:rsidR="005A356F" w:rsidRPr="0018209A" w:rsidTr="002654D6">
        <w:tc>
          <w:tcPr>
            <w:tcW w:w="2340" w:type="dxa"/>
          </w:tcPr>
          <w:p w:rsidR="005A356F" w:rsidRPr="002654D6" w:rsidRDefault="005A356F">
            <w:pPr>
              <w:rPr>
                <w:lang w:val="en-US"/>
              </w:rPr>
            </w:pPr>
            <w:r w:rsidRPr="002654D6">
              <w:rPr>
                <w:lang w:val="en-US"/>
              </w:rPr>
              <w:t xml:space="preserve">Time </w:t>
            </w:r>
          </w:p>
          <w:p w:rsidR="005A356F" w:rsidRPr="002654D6" w:rsidRDefault="005A356F">
            <w:pPr>
              <w:rPr>
                <w:lang w:val="en-US"/>
              </w:rPr>
            </w:pPr>
            <w:r w:rsidRPr="002654D6">
              <w:rPr>
                <w:lang w:val="en-US"/>
              </w:rPr>
              <w:t>of implementation</w:t>
            </w:r>
          </w:p>
        </w:tc>
        <w:tc>
          <w:tcPr>
            <w:tcW w:w="8640" w:type="dxa"/>
          </w:tcPr>
          <w:p w:rsidR="005A356F" w:rsidRPr="002654D6" w:rsidRDefault="005A356F" w:rsidP="002654D6">
            <w:pPr>
              <w:spacing w:before="120"/>
              <w:rPr>
                <w:lang w:val="en-US"/>
              </w:rPr>
            </w:pPr>
            <w:r w:rsidRPr="005F7DDA">
              <w:rPr>
                <w:b/>
                <w:lang w:val="en-US"/>
              </w:rPr>
              <w:t>1st semester</w:t>
            </w:r>
            <w:r w:rsidRPr="00524D4C">
              <w:rPr>
                <w:b/>
                <w:bCs/>
                <w:lang w:val="en-US"/>
              </w:rPr>
              <w:t xml:space="preserve"> </w:t>
            </w:r>
            <w:r w:rsidRPr="002654D6">
              <w:rPr>
                <w:rFonts w:ascii="Arial" w:hAnsi="Arial" w:cs="Arial"/>
                <w:b/>
                <w:lang w:val="en-US"/>
              </w:rPr>
              <w:t>√</w:t>
            </w:r>
            <w:r w:rsidRPr="00524D4C">
              <w:rPr>
                <w:lang w:val="en-US"/>
              </w:rPr>
              <w:t xml:space="preserve">   </w:t>
            </w:r>
            <w:r>
              <w:rPr>
                <w:lang w:val="en-US"/>
              </w:rPr>
              <w:t>or</w:t>
            </w:r>
            <w:r w:rsidRPr="002654D6">
              <w:rPr>
                <w:lang w:val="en-US"/>
              </w:rPr>
              <w:t xml:space="preserve">       </w:t>
            </w:r>
            <w:r w:rsidRPr="00524D4C">
              <w:rPr>
                <w:b/>
                <w:bCs/>
                <w:lang w:val="en-US"/>
              </w:rPr>
              <w:t xml:space="preserve">2nd  semester  </w:t>
            </w:r>
            <w:r w:rsidRPr="002654D6">
              <w:rPr>
                <w:rFonts w:ascii="Arial" w:hAnsi="Arial" w:cs="Arial"/>
                <w:b/>
                <w:lang w:val="en-US"/>
              </w:rPr>
              <w:t>√</w:t>
            </w:r>
            <w:r w:rsidRPr="00524D4C">
              <w:rPr>
                <w:lang w:val="en-US"/>
              </w:rPr>
              <w:t xml:space="preserve">   </w:t>
            </w:r>
            <w:r w:rsidRPr="002654D6">
              <w:rPr>
                <w:lang w:val="en-US"/>
              </w:rPr>
              <w:t xml:space="preserve">1st +2nd semester  </w:t>
            </w:r>
            <w:r w:rsidRPr="002654D6">
              <w:rPr>
                <w:sz w:val="28"/>
                <w:szCs w:val="28"/>
                <w:lang w:val="en-US"/>
              </w:rPr>
              <w:t xml:space="preserve">  </w:t>
            </w:r>
            <w:r w:rsidRPr="002654D6">
              <w:rPr>
                <w:lang w:val="en-US"/>
              </w:rPr>
              <w:t xml:space="preserve">       (please check </w:t>
            </w:r>
            <w:r w:rsidRPr="002654D6">
              <w:rPr>
                <w:rFonts w:ascii="Arial" w:hAnsi="Arial" w:cs="Arial"/>
                <w:b/>
                <w:lang w:val="en-US"/>
              </w:rPr>
              <w:t>√</w:t>
            </w:r>
            <w:r w:rsidRPr="002654D6">
              <w:rPr>
                <w:rFonts w:ascii="Arial" w:hAnsi="Arial" w:cs="Arial"/>
                <w:lang w:val="en-US"/>
              </w:rPr>
              <w:t>)</w:t>
            </w:r>
          </w:p>
        </w:tc>
      </w:tr>
      <w:tr w:rsidR="005A356F" w:rsidRPr="001B3A1D" w:rsidTr="002654D6">
        <w:tc>
          <w:tcPr>
            <w:tcW w:w="2340" w:type="dxa"/>
          </w:tcPr>
          <w:p w:rsidR="005A356F" w:rsidRPr="002654D6" w:rsidRDefault="005A356F">
            <w:pPr>
              <w:rPr>
                <w:lang w:val="en-US"/>
              </w:rPr>
            </w:pPr>
            <w:r w:rsidRPr="002654D6">
              <w:rPr>
                <w:lang w:val="en-US"/>
              </w:rPr>
              <w:t>Number of hours</w:t>
            </w:r>
          </w:p>
        </w:tc>
        <w:tc>
          <w:tcPr>
            <w:tcW w:w="8640" w:type="dxa"/>
          </w:tcPr>
          <w:p w:rsidR="005A356F" w:rsidRPr="002654D6" w:rsidRDefault="005A356F">
            <w:pPr>
              <w:rPr>
                <w:b/>
                <w:lang w:val="en-US"/>
              </w:rPr>
            </w:pPr>
            <w:r>
              <w:rPr>
                <w:b/>
                <w:lang w:val="en-US"/>
              </w:rPr>
              <w:t>30</w:t>
            </w:r>
          </w:p>
        </w:tc>
      </w:tr>
      <w:tr w:rsidR="005A356F" w:rsidRPr="001B3A1D" w:rsidTr="002654D6">
        <w:tc>
          <w:tcPr>
            <w:tcW w:w="2340" w:type="dxa"/>
          </w:tcPr>
          <w:p w:rsidR="005A356F" w:rsidRPr="002654D6" w:rsidRDefault="005A356F">
            <w:pPr>
              <w:rPr>
                <w:lang w:val="en-US"/>
              </w:rPr>
            </w:pPr>
            <w:r w:rsidRPr="002654D6">
              <w:rPr>
                <w:lang w:val="en-US"/>
              </w:rPr>
              <w:t>ECTS</w:t>
            </w:r>
          </w:p>
        </w:tc>
        <w:tc>
          <w:tcPr>
            <w:tcW w:w="8640" w:type="dxa"/>
          </w:tcPr>
          <w:p w:rsidR="005A356F" w:rsidRPr="002654D6" w:rsidRDefault="005A356F" w:rsidP="00CF1B3C">
            <w:pPr>
              <w:rPr>
                <w:b/>
                <w:lang w:val="en-US"/>
              </w:rPr>
            </w:pPr>
            <w:r>
              <w:rPr>
                <w:b/>
                <w:lang w:val="en-US"/>
              </w:rPr>
              <w:t>6</w:t>
            </w:r>
            <w:r w:rsidRPr="002654D6">
              <w:rPr>
                <w:b/>
                <w:lang w:val="en-US"/>
              </w:rPr>
              <w:t xml:space="preserve"> </w:t>
            </w:r>
            <w:bookmarkStart w:id="0" w:name="_GoBack"/>
            <w:bookmarkEnd w:id="0"/>
          </w:p>
        </w:tc>
      </w:tr>
      <w:tr w:rsidR="005A356F" w:rsidRPr="00060433" w:rsidTr="002654D6">
        <w:tc>
          <w:tcPr>
            <w:tcW w:w="2340" w:type="dxa"/>
          </w:tcPr>
          <w:p w:rsidR="005A356F" w:rsidRPr="002654D6" w:rsidRDefault="005A356F">
            <w:pPr>
              <w:rPr>
                <w:lang w:val="en-US"/>
              </w:rPr>
            </w:pPr>
            <w:r w:rsidRPr="002654D6">
              <w:rPr>
                <w:lang w:val="en-US"/>
              </w:rPr>
              <w:t>Lecture(s)</w:t>
            </w:r>
          </w:p>
          <w:p w:rsidR="005A356F" w:rsidRPr="002654D6" w:rsidRDefault="005A356F">
            <w:pPr>
              <w:rPr>
                <w:lang w:val="en-US"/>
              </w:rPr>
            </w:pPr>
            <w:r w:rsidRPr="002654D6">
              <w:rPr>
                <w:lang w:val="en-US"/>
              </w:rPr>
              <w:t>(name and last name)</w:t>
            </w:r>
          </w:p>
        </w:tc>
        <w:tc>
          <w:tcPr>
            <w:tcW w:w="8640" w:type="dxa"/>
          </w:tcPr>
          <w:p w:rsidR="005A356F" w:rsidRPr="002654D6" w:rsidRDefault="005A356F" w:rsidP="002654D6">
            <w:pPr>
              <w:spacing w:before="120"/>
              <w:rPr>
                <w:b/>
                <w:lang w:val="en-US"/>
              </w:rPr>
            </w:pPr>
            <w:r w:rsidRPr="002654D6">
              <w:rPr>
                <w:b/>
                <w:lang w:val="en-US"/>
              </w:rPr>
              <w:t>Anna Odrowąż-Coates</w:t>
            </w:r>
          </w:p>
        </w:tc>
      </w:tr>
      <w:tr w:rsidR="005A356F" w:rsidRPr="00060433" w:rsidTr="002654D6">
        <w:tc>
          <w:tcPr>
            <w:tcW w:w="2340" w:type="dxa"/>
          </w:tcPr>
          <w:p w:rsidR="005A356F" w:rsidRPr="002654D6" w:rsidRDefault="005A356F">
            <w:pPr>
              <w:rPr>
                <w:lang w:val="en-US"/>
              </w:rPr>
            </w:pPr>
            <w:r w:rsidRPr="002654D6">
              <w:rPr>
                <w:lang w:val="en-US"/>
              </w:rPr>
              <w:t>Title/position</w:t>
            </w:r>
          </w:p>
        </w:tc>
        <w:tc>
          <w:tcPr>
            <w:tcW w:w="8640" w:type="dxa"/>
          </w:tcPr>
          <w:p w:rsidR="005A356F" w:rsidRPr="002654D6" w:rsidRDefault="005A356F">
            <w:pPr>
              <w:rPr>
                <w:b/>
                <w:lang w:val="en-US"/>
              </w:rPr>
            </w:pPr>
            <w:r>
              <w:rPr>
                <w:b/>
                <w:lang w:val="en-US"/>
              </w:rPr>
              <w:t>Professor</w:t>
            </w:r>
          </w:p>
        </w:tc>
      </w:tr>
      <w:tr w:rsidR="005A356F" w:rsidRPr="0018209A" w:rsidTr="002654D6">
        <w:tc>
          <w:tcPr>
            <w:tcW w:w="2340" w:type="dxa"/>
          </w:tcPr>
          <w:p w:rsidR="005A356F" w:rsidRPr="002654D6" w:rsidRDefault="005A356F">
            <w:pPr>
              <w:rPr>
                <w:lang w:val="en-US"/>
              </w:rPr>
            </w:pPr>
            <w:r w:rsidRPr="002654D6">
              <w:rPr>
                <w:lang w:val="en-US"/>
              </w:rPr>
              <w:t xml:space="preserve">Affiliation </w:t>
            </w:r>
          </w:p>
          <w:p w:rsidR="005A356F" w:rsidRPr="002654D6" w:rsidRDefault="005A356F">
            <w:pPr>
              <w:rPr>
                <w:lang w:val="en-US"/>
              </w:rPr>
            </w:pPr>
            <w:r w:rsidRPr="002654D6">
              <w:rPr>
                <w:lang w:val="en-US"/>
              </w:rPr>
              <w:t>(Institute, division)</w:t>
            </w:r>
          </w:p>
        </w:tc>
        <w:tc>
          <w:tcPr>
            <w:tcW w:w="8640" w:type="dxa"/>
          </w:tcPr>
          <w:p w:rsidR="005A356F" w:rsidRPr="0018209A" w:rsidRDefault="005A356F" w:rsidP="0018209A">
            <w:pPr>
              <w:spacing w:after="120"/>
              <w:ind w:hanging="181"/>
              <w:rPr>
                <w:lang w:val="en-US"/>
              </w:rPr>
            </w:pPr>
            <w:r>
              <w:rPr>
                <w:lang w:val="en-US"/>
              </w:rPr>
              <w:t xml:space="preserve">The </w:t>
            </w:r>
            <w:smartTag w:uri="urn:schemas-microsoft-com:office:smarttags" w:element="PlaceName">
              <w:r>
                <w:rPr>
                  <w:lang w:val="en-US"/>
                </w:rPr>
                <w:t>Maria</w:t>
              </w:r>
            </w:smartTag>
            <w:r>
              <w:rPr>
                <w:lang w:val="en-US"/>
              </w:rPr>
              <w:t xml:space="preserve"> </w:t>
            </w:r>
            <w:smartTag w:uri="urn:schemas-microsoft-com:office:smarttags" w:element="PlaceName">
              <w:r>
                <w:rPr>
                  <w:lang w:val="en-US"/>
                </w:rPr>
                <w:t>Grzegorzewska</w:t>
              </w:r>
            </w:smartTag>
            <w:r>
              <w:rPr>
                <w:lang w:val="en-US"/>
              </w:rPr>
              <w:t xml:space="preserve"> </w:t>
            </w:r>
            <w:smartTag w:uri="urn:schemas-microsoft-com:office:smarttags" w:element="PlaceType">
              <w:r>
                <w:rPr>
                  <w:lang w:val="en-US"/>
                </w:rPr>
                <w:t>University</w:t>
              </w:r>
            </w:smartTag>
            <w:r>
              <w:rPr>
                <w:lang w:val="en-US"/>
              </w:rPr>
              <w:t xml:space="preserve">, </w:t>
            </w:r>
            <w:smartTag w:uri="urn:schemas-microsoft-com:office:smarttags" w:element="PlaceType">
              <w:smartTag w:uri="urn:schemas-microsoft-com:office:smarttags" w:element="place">
                <w:smartTag w:uri="urn:schemas-microsoft-com:office:smarttags" w:element="PlaceType">
                  <w:r w:rsidRPr="002654D6">
                    <w:rPr>
                      <w:b/>
                      <w:lang w:val="en-US"/>
                    </w:rPr>
                    <w:t>Institute</w:t>
                  </w:r>
                </w:smartTag>
                <w:r w:rsidRPr="002654D6">
                  <w:rPr>
                    <w:b/>
                    <w:lang w:val="en-US"/>
                  </w:rPr>
                  <w:t xml:space="preserve"> of </w:t>
                </w:r>
                <w:smartTag w:uri="urn:schemas-microsoft-com:office:smarttags" w:element="PlaceName">
                  <w:r w:rsidRPr="002654D6">
                    <w:rPr>
                      <w:b/>
                      <w:lang w:val="en-US"/>
                    </w:rPr>
                    <w:t>Social</w:t>
                  </w:r>
                </w:smartTag>
              </w:smartTag>
            </w:smartTag>
            <w:r w:rsidRPr="002654D6">
              <w:rPr>
                <w:b/>
                <w:lang w:val="en-US"/>
              </w:rPr>
              <w:t xml:space="preserve"> Education</w:t>
            </w:r>
          </w:p>
        </w:tc>
      </w:tr>
      <w:tr w:rsidR="005A356F" w:rsidRPr="0018209A" w:rsidTr="002654D6">
        <w:tc>
          <w:tcPr>
            <w:tcW w:w="2340" w:type="dxa"/>
          </w:tcPr>
          <w:p w:rsidR="005A356F" w:rsidRPr="002654D6" w:rsidRDefault="005A356F">
            <w:pPr>
              <w:rPr>
                <w:lang w:val="en-US"/>
              </w:rPr>
            </w:pPr>
            <w:r w:rsidRPr="002654D6">
              <w:rPr>
                <w:lang w:val="en-US"/>
              </w:rPr>
              <w:t>Course description</w:t>
            </w:r>
          </w:p>
          <w:p w:rsidR="005A356F" w:rsidRPr="002654D6" w:rsidRDefault="005A356F">
            <w:pPr>
              <w:rPr>
                <w:lang w:val="en-US"/>
              </w:rPr>
            </w:pPr>
            <w:r w:rsidRPr="002654D6">
              <w:rPr>
                <w:lang w:val="en-US"/>
              </w:rPr>
              <w:t>(up to 600 words)</w:t>
            </w:r>
          </w:p>
        </w:tc>
        <w:tc>
          <w:tcPr>
            <w:tcW w:w="8640" w:type="dxa"/>
          </w:tcPr>
          <w:p w:rsidR="005A356F" w:rsidRPr="002654D6" w:rsidRDefault="005A356F" w:rsidP="00CD0EED">
            <w:pPr>
              <w:rPr>
                <w:lang w:val="en-GB"/>
              </w:rPr>
            </w:pPr>
            <w:r w:rsidRPr="002654D6">
              <w:rPr>
                <w:lang w:val="en-GB"/>
              </w:rPr>
              <w:t xml:space="preserve">The course will </w:t>
            </w:r>
            <w:r>
              <w:rPr>
                <w:lang w:val="en-GB"/>
              </w:rPr>
              <w:t xml:space="preserve">discuss Human Rights issues, Human Rights violations and the international  mechanisms of protecting the rights of minority groups and of children. </w:t>
            </w:r>
          </w:p>
          <w:p w:rsidR="005A356F" w:rsidRPr="002654D6" w:rsidRDefault="005A356F" w:rsidP="00CD0EED">
            <w:pPr>
              <w:rPr>
                <w:lang w:val="en-GB"/>
              </w:rPr>
            </w:pPr>
          </w:p>
          <w:p w:rsidR="005A356F" w:rsidRPr="002654D6" w:rsidRDefault="005A356F" w:rsidP="0090714E">
            <w:pPr>
              <w:rPr>
                <w:lang w:val="en-GB"/>
              </w:rPr>
            </w:pPr>
            <w:r w:rsidRPr="002654D6">
              <w:rPr>
                <w:lang w:val="en-GB"/>
              </w:rPr>
              <w:t xml:space="preserve">Students will </w:t>
            </w:r>
            <w:r>
              <w:rPr>
                <w:lang w:val="en-GB"/>
              </w:rPr>
              <w:t>be introduced to</w:t>
            </w:r>
            <w:r w:rsidRPr="002654D6">
              <w:rPr>
                <w:lang w:val="en-GB"/>
              </w:rPr>
              <w:t xml:space="preserve"> </w:t>
            </w:r>
            <w:r>
              <w:rPr>
                <w:lang w:val="en-GB"/>
              </w:rPr>
              <w:t xml:space="preserve">international and national policies. </w:t>
            </w:r>
            <w:r w:rsidRPr="002654D6">
              <w:rPr>
                <w:lang w:val="en-GB"/>
              </w:rPr>
              <w:t xml:space="preserve"> </w:t>
            </w:r>
            <w:r>
              <w:rPr>
                <w:lang w:val="en-GB"/>
              </w:rPr>
              <w:t>Moreover, p</w:t>
            </w:r>
            <w:r w:rsidRPr="002654D6">
              <w:rPr>
                <w:lang w:val="en-GB"/>
              </w:rPr>
              <w:t xml:space="preserve">articipants will </w:t>
            </w:r>
            <w:r>
              <w:rPr>
                <w:lang w:val="en-GB"/>
              </w:rPr>
              <w:t xml:space="preserve">examine ethnographic materials on the subject matter. </w:t>
            </w:r>
            <w:r w:rsidRPr="002654D6">
              <w:rPr>
                <w:lang w:val="en-GB"/>
              </w:rPr>
              <w:t xml:space="preserve"> </w:t>
            </w:r>
          </w:p>
          <w:p w:rsidR="005A356F" w:rsidRPr="002654D6" w:rsidRDefault="005A356F" w:rsidP="00CD0EED">
            <w:pPr>
              <w:rPr>
                <w:lang w:val="en-GB"/>
              </w:rPr>
            </w:pPr>
          </w:p>
          <w:p w:rsidR="005A356F" w:rsidRPr="002654D6" w:rsidRDefault="005A356F" w:rsidP="00084B7F">
            <w:pPr>
              <w:rPr>
                <w:lang w:val="en-GB"/>
              </w:rPr>
            </w:pPr>
            <w:r>
              <w:rPr>
                <w:lang w:val="en-GB"/>
              </w:rPr>
              <w:t xml:space="preserve">The </w:t>
            </w:r>
            <w:r w:rsidRPr="002654D6">
              <w:rPr>
                <w:lang w:val="en-GB"/>
              </w:rPr>
              <w:t xml:space="preserve">aim of the course will be to </w:t>
            </w:r>
            <w:r>
              <w:rPr>
                <w:lang w:val="en-GB"/>
              </w:rPr>
              <w:t xml:space="preserve">raise awareness of cultural differences and social inequalities in the light of universal human rights. At the same time, participants will pose questions about the ethnocentric bias and social order in a variety of countries. </w:t>
            </w:r>
          </w:p>
          <w:p w:rsidR="005A356F" w:rsidRPr="002654D6" w:rsidRDefault="005A356F" w:rsidP="00CD0EED">
            <w:pPr>
              <w:rPr>
                <w:lang w:val="en-GB"/>
              </w:rPr>
            </w:pPr>
          </w:p>
          <w:p w:rsidR="005A356F" w:rsidRPr="002654D6" w:rsidRDefault="005A356F" w:rsidP="00CD0EED">
            <w:pPr>
              <w:rPr>
                <w:lang w:val="en-GB"/>
              </w:rPr>
            </w:pPr>
            <w:r w:rsidRPr="002654D6">
              <w:rPr>
                <w:lang w:val="en-GB"/>
              </w:rPr>
              <w:t xml:space="preserve">The course will encourage independent research into </w:t>
            </w:r>
            <w:r>
              <w:rPr>
                <w:lang w:val="en-GB"/>
              </w:rPr>
              <w:t>international</w:t>
            </w:r>
            <w:r w:rsidRPr="002654D6">
              <w:rPr>
                <w:lang w:val="en-GB"/>
              </w:rPr>
              <w:t xml:space="preserve"> legislation </w:t>
            </w:r>
            <w:r>
              <w:rPr>
                <w:lang w:val="en-GB"/>
              </w:rPr>
              <w:t xml:space="preserve">and statistics on human rights issues. </w:t>
            </w:r>
          </w:p>
          <w:p w:rsidR="005A356F" w:rsidRPr="002654D6" w:rsidRDefault="005A356F" w:rsidP="00CD0EED">
            <w:pPr>
              <w:rPr>
                <w:lang w:val="en-GB"/>
              </w:rPr>
            </w:pPr>
            <w:r w:rsidRPr="002654D6">
              <w:rPr>
                <w:lang w:val="en-GB"/>
              </w:rPr>
              <w:t xml:space="preserve">  </w:t>
            </w:r>
          </w:p>
          <w:p w:rsidR="005A356F" w:rsidRPr="002654D6" w:rsidRDefault="005A356F" w:rsidP="00E63FD8">
            <w:pPr>
              <w:spacing w:after="120"/>
              <w:rPr>
                <w:lang w:val="en-GB"/>
              </w:rPr>
            </w:pPr>
            <w:r>
              <w:rPr>
                <w:lang w:val="en-GB"/>
              </w:rPr>
              <w:t>The course will enhance the student</w:t>
            </w:r>
            <w:r w:rsidRPr="002654D6">
              <w:rPr>
                <w:lang w:val="en-GB"/>
              </w:rPr>
              <w:t>s</w:t>
            </w:r>
            <w:r>
              <w:rPr>
                <w:lang w:val="en-GB"/>
              </w:rPr>
              <w:t>’</w:t>
            </w:r>
            <w:r w:rsidRPr="002654D6">
              <w:rPr>
                <w:lang w:val="en-GB"/>
              </w:rPr>
              <w:t xml:space="preserve"> vocabulary in th</w:t>
            </w:r>
            <w:r>
              <w:rPr>
                <w:lang w:val="en-GB"/>
              </w:rPr>
              <w:t>is</w:t>
            </w:r>
            <w:r w:rsidRPr="002654D6">
              <w:rPr>
                <w:lang w:val="en-GB"/>
              </w:rPr>
              <w:t xml:space="preserve"> area of expertise</w:t>
            </w:r>
            <w:r>
              <w:rPr>
                <w:lang w:val="en-GB"/>
              </w:rPr>
              <w:t>. It will</w:t>
            </w:r>
            <w:r w:rsidRPr="002654D6">
              <w:rPr>
                <w:lang w:val="en-GB"/>
              </w:rPr>
              <w:t xml:space="preserve"> aid individual</w:t>
            </w:r>
            <w:r>
              <w:rPr>
                <w:lang w:val="en-GB"/>
              </w:rPr>
              <w:t xml:space="preserve"> independent research,</w:t>
            </w:r>
            <w:r w:rsidRPr="002654D6">
              <w:rPr>
                <w:lang w:val="en-GB"/>
              </w:rPr>
              <w:t xml:space="preserve"> </w:t>
            </w:r>
            <w:r>
              <w:rPr>
                <w:lang w:val="en-GB"/>
              </w:rPr>
              <w:t xml:space="preserve">critical text analysis, </w:t>
            </w:r>
            <w:r w:rsidRPr="002654D6">
              <w:rPr>
                <w:lang w:val="en-GB"/>
              </w:rPr>
              <w:t>teamwork and confidence in sharing ideas in English.</w:t>
            </w:r>
          </w:p>
        </w:tc>
      </w:tr>
      <w:tr w:rsidR="005A356F" w:rsidRPr="0018209A" w:rsidTr="002654D6">
        <w:tc>
          <w:tcPr>
            <w:tcW w:w="2340" w:type="dxa"/>
          </w:tcPr>
          <w:p w:rsidR="005A356F" w:rsidRPr="002654D6" w:rsidRDefault="005A356F">
            <w:pPr>
              <w:rPr>
                <w:lang w:val="en-US"/>
              </w:rPr>
            </w:pPr>
            <w:r w:rsidRPr="002654D6">
              <w:rPr>
                <w:lang w:val="en-US"/>
              </w:rPr>
              <w:t>Required readings</w:t>
            </w:r>
          </w:p>
        </w:tc>
        <w:tc>
          <w:tcPr>
            <w:tcW w:w="8640" w:type="dxa"/>
          </w:tcPr>
          <w:p w:rsidR="005A356F" w:rsidRPr="00C62061" w:rsidRDefault="005A356F" w:rsidP="00C62061">
            <w:pPr>
              <w:ind w:left="720"/>
              <w:rPr>
                <w:lang w:val="en-GB"/>
              </w:rPr>
            </w:pPr>
            <w:r>
              <w:rPr>
                <w:sz w:val="22"/>
                <w:szCs w:val="22"/>
                <w:lang w:val="en-GB"/>
              </w:rPr>
              <w:t>The reading materials will be supplied in electronic format.</w:t>
            </w:r>
          </w:p>
          <w:p w:rsidR="005A356F" w:rsidRPr="00C62061" w:rsidRDefault="005A356F" w:rsidP="00DD44C8">
            <w:pPr>
              <w:numPr>
                <w:ilvl w:val="0"/>
                <w:numId w:val="2"/>
              </w:numPr>
              <w:rPr>
                <w:lang w:val="en-GB"/>
              </w:rPr>
            </w:pPr>
            <w:r w:rsidRPr="00C62061">
              <w:rPr>
                <w:sz w:val="22"/>
                <w:szCs w:val="22"/>
                <w:lang w:val="en-US"/>
              </w:rPr>
              <w:t xml:space="preserve"> </w:t>
            </w:r>
            <w:r w:rsidRPr="00C62061">
              <w:rPr>
                <w:sz w:val="22"/>
                <w:szCs w:val="22"/>
                <w:lang w:val="en-GB"/>
              </w:rPr>
              <w:t>Ali A. H., The Caged Virgin, A Muslim Woman’s Cry for Reason, London 2006.</w:t>
            </w:r>
          </w:p>
          <w:p w:rsidR="005A356F" w:rsidRPr="00C62061" w:rsidRDefault="005A356F" w:rsidP="00DD44C8">
            <w:pPr>
              <w:numPr>
                <w:ilvl w:val="0"/>
                <w:numId w:val="2"/>
              </w:numPr>
              <w:rPr>
                <w:lang w:val="en-GB" w:eastAsia="en-GB"/>
              </w:rPr>
            </w:pPr>
            <w:r w:rsidRPr="00C62061">
              <w:rPr>
                <w:sz w:val="22"/>
                <w:szCs w:val="22"/>
                <w:lang w:val="en-GB" w:eastAsia="en-GB"/>
              </w:rPr>
              <w:t xml:space="preserve">Ekern S. </w:t>
            </w:r>
            <w:r w:rsidRPr="00C62061">
              <w:rPr>
                <w:i/>
                <w:sz w:val="22"/>
                <w:szCs w:val="22"/>
                <w:lang w:val="en-GB" w:eastAsia="en-GB"/>
              </w:rPr>
              <w:t xml:space="preserve">The modernizing bias of human rights: stories of mass killings and genocide in </w:t>
            </w:r>
            <w:smartTag w:uri="urn:schemas-microsoft-com:office:smarttags" w:element="country-region">
              <w:smartTag w:uri="urn:schemas-microsoft-com:office:smarttags" w:element="place">
                <w:r w:rsidRPr="00C62061">
                  <w:rPr>
                    <w:i/>
                    <w:sz w:val="22"/>
                    <w:szCs w:val="22"/>
                    <w:lang w:val="en-GB" w:eastAsia="en-GB"/>
                  </w:rPr>
                  <w:t>Central America</w:t>
                </w:r>
              </w:smartTag>
            </w:smartTag>
            <w:r w:rsidRPr="00C62061">
              <w:rPr>
                <w:i/>
                <w:sz w:val="22"/>
                <w:szCs w:val="22"/>
                <w:lang w:val="en-GB" w:eastAsia="en-GB"/>
              </w:rPr>
              <w:t>.</w:t>
            </w:r>
            <w:r w:rsidRPr="00C62061">
              <w:rPr>
                <w:sz w:val="22"/>
                <w:szCs w:val="22"/>
                <w:lang w:val="en-GB" w:eastAsia="en-GB"/>
              </w:rPr>
              <w:t xml:space="preserve"> [w:] Journal Of Genocide Research [J Genocide Res] 2010; Vol. 12 (3-4), pp. 219-41.</w:t>
            </w:r>
          </w:p>
          <w:p w:rsidR="005A356F" w:rsidRPr="00C62061" w:rsidRDefault="005A356F" w:rsidP="00DD44C8">
            <w:pPr>
              <w:numPr>
                <w:ilvl w:val="0"/>
                <w:numId w:val="2"/>
              </w:numPr>
              <w:rPr>
                <w:lang w:eastAsia="en-GB"/>
              </w:rPr>
            </w:pPr>
            <w:r w:rsidRPr="00C62061">
              <w:rPr>
                <w:sz w:val="22"/>
                <w:szCs w:val="22"/>
                <w:lang w:val="en-GB" w:eastAsia="en-GB"/>
              </w:rPr>
              <w:t xml:space="preserve">Goutor D. </w:t>
            </w:r>
            <w:r w:rsidRPr="00C62061">
              <w:rPr>
                <w:i/>
                <w:sz w:val="22"/>
                <w:szCs w:val="22"/>
                <w:lang w:val="en-GB" w:eastAsia="en-GB"/>
              </w:rPr>
              <w:t xml:space="preserve">A Different Perspective on the “Labor Rights as Human Rights” Debate: Organized Labor and Human Rights Activism in </w:t>
            </w:r>
            <w:smartTag w:uri="urn:schemas-microsoft-com:office:smarttags" w:element="country-region">
              <w:smartTag w:uri="urn:schemas-microsoft-com:office:smarttags" w:element="place">
                <w:r w:rsidRPr="00C62061">
                  <w:rPr>
                    <w:i/>
                    <w:sz w:val="22"/>
                    <w:szCs w:val="22"/>
                    <w:lang w:val="en-GB" w:eastAsia="en-GB"/>
                  </w:rPr>
                  <w:t>Canada</w:t>
                </w:r>
              </w:smartTag>
            </w:smartTag>
            <w:r w:rsidRPr="00C62061">
              <w:rPr>
                <w:i/>
                <w:sz w:val="22"/>
                <w:szCs w:val="22"/>
                <w:lang w:val="en-GB" w:eastAsia="en-GB"/>
              </w:rPr>
              <w:t>, 1939-1952.</w:t>
            </w:r>
            <w:r w:rsidRPr="00C62061">
              <w:rPr>
                <w:sz w:val="22"/>
                <w:szCs w:val="22"/>
                <w:lang w:val="en-GB" w:eastAsia="en-GB"/>
              </w:rPr>
              <w:t xml:space="preserve"> </w:t>
            </w:r>
            <w:r w:rsidRPr="00C62061">
              <w:rPr>
                <w:sz w:val="22"/>
                <w:szCs w:val="22"/>
                <w:lang w:eastAsia="en-GB"/>
              </w:rPr>
              <w:t>[w:] Labor Studies Journal; Sep2011, Vol. 36 Issue 3, p408-427, 20p</w:t>
            </w:r>
          </w:p>
          <w:p w:rsidR="005A356F" w:rsidRPr="00C62061" w:rsidRDefault="005A356F" w:rsidP="00DD44C8">
            <w:pPr>
              <w:numPr>
                <w:ilvl w:val="0"/>
                <w:numId w:val="2"/>
              </w:numPr>
              <w:rPr>
                <w:lang w:eastAsia="en-GB"/>
              </w:rPr>
            </w:pPr>
            <w:r w:rsidRPr="00C62061">
              <w:rPr>
                <w:sz w:val="22"/>
                <w:szCs w:val="22"/>
                <w:lang w:val="en-GB" w:eastAsia="en-GB"/>
              </w:rPr>
              <w:t xml:space="preserve">Hobbs J.D., Pattalung P.N., Chandler R. C. </w:t>
            </w:r>
            <w:r w:rsidRPr="00C62061">
              <w:rPr>
                <w:i/>
                <w:sz w:val="22"/>
                <w:szCs w:val="22"/>
                <w:lang w:val="en-GB" w:eastAsia="en-GB"/>
              </w:rPr>
              <w:t>Advertising Phuket's nightlife on the Internet: a case study of double binds and hegemonic masculinity in sex tourism.</w:t>
            </w:r>
            <w:r w:rsidRPr="00C62061">
              <w:rPr>
                <w:sz w:val="22"/>
                <w:szCs w:val="22"/>
                <w:lang w:val="en-GB" w:eastAsia="en-GB"/>
              </w:rPr>
              <w:t xml:space="preserve"> </w:t>
            </w:r>
            <w:r w:rsidRPr="00C62061">
              <w:rPr>
                <w:sz w:val="22"/>
                <w:szCs w:val="22"/>
                <w:lang w:eastAsia="en-GB"/>
              </w:rPr>
              <w:t>[w:] Sojourn (Singapore) 2011; Vol. 26 (1), pp. 80-104.</w:t>
            </w:r>
          </w:p>
          <w:p w:rsidR="005A356F" w:rsidRPr="00C62061" w:rsidRDefault="005A356F" w:rsidP="00DD44C8">
            <w:pPr>
              <w:numPr>
                <w:ilvl w:val="0"/>
                <w:numId w:val="2"/>
              </w:numPr>
            </w:pPr>
            <w:hyperlink r:id="rId5" w:history="1">
              <w:r w:rsidRPr="00C62061">
                <w:rPr>
                  <w:rStyle w:val="Hyperlink"/>
                  <w:color w:val="auto"/>
                  <w:sz w:val="22"/>
                  <w:szCs w:val="22"/>
                  <w:u w:val="none"/>
                </w:rPr>
                <w:t>http://www.unicef.org/crc/index_30184.html</w:t>
              </w:r>
            </w:hyperlink>
          </w:p>
          <w:p w:rsidR="005A356F" w:rsidRPr="00C62061" w:rsidRDefault="005A356F" w:rsidP="00DD44C8">
            <w:pPr>
              <w:numPr>
                <w:ilvl w:val="0"/>
                <w:numId w:val="2"/>
              </w:numPr>
              <w:rPr>
                <w:lang w:eastAsia="en-US"/>
              </w:rPr>
            </w:pPr>
            <w:hyperlink r:id="rId6" w:history="1">
              <w:r w:rsidRPr="00C62061">
                <w:rPr>
                  <w:rStyle w:val="Hyperlink"/>
                  <w:color w:val="auto"/>
                  <w:sz w:val="22"/>
                  <w:szCs w:val="22"/>
                  <w:u w:val="none"/>
                </w:rPr>
                <w:t>http://www.oecd.org/dataoecd/30/26/45583188.pdf</w:t>
              </w:r>
            </w:hyperlink>
          </w:p>
          <w:p w:rsidR="005A356F" w:rsidRPr="00C62061" w:rsidRDefault="005A356F" w:rsidP="00DD44C8">
            <w:pPr>
              <w:numPr>
                <w:ilvl w:val="0"/>
                <w:numId w:val="2"/>
              </w:numPr>
              <w:rPr>
                <w:lang w:val="en-GB" w:eastAsia="en-GB"/>
              </w:rPr>
            </w:pPr>
            <w:r w:rsidRPr="00C62061">
              <w:rPr>
                <w:sz w:val="22"/>
                <w:szCs w:val="22"/>
                <w:lang w:val="en-GB" w:eastAsia="en-GB"/>
              </w:rPr>
              <w:t xml:space="preserve">Jan G. K., Wahab A., Constitutional Evaluation of United Nations, Universal Declaration of Human Rights. [w:] </w:t>
            </w:r>
            <w:smartTag w:uri="urn:schemas-microsoft-com:office:smarttags" w:element="country-region">
              <w:smartTag w:uri="urn:schemas-microsoft-com:office:smarttags" w:element="place">
                <w:smartTag w:uri="urn:schemas-microsoft-com:office:smarttags" w:element="PlaceName">
                  <w:r w:rsidRPr="00C62061">
                    <w:rPr>
                      <w:sz w:val="22"/>
                      <w:szCs w:val="22"/>
                      <w:lang w:val="en-GB" w:eastAsia="en-GB"/>
                    </w:rPr>
                    <w:t>Gomal</w:t>
                  </w:r>
                </w:smartTag>
              </w:smartTag>
              <w:r w:rsidRPr="00C62061">
                <w:rPr>
                  <w:sz w:val="22"/>
                  <w:szCs w:val="22"/>
                  <w:lang w:val="en-GB" w:eastAsia="en-GB"/>
                </w:rPr>
                <w:t xml:space="preserve"> </w:t>
              </w:r>
              <w:smartTag w:uri="urn:schemas-microsoft-com:office:smarttags" w:element="country-region">
                <w:smartTag w:uri="urn:schemas-microsoft-com:office:smarttags" w:element="PlaceType">
                  <w:r w:rsidRPr="00C62061">
                    <w:rPr>
                      <w:sz w:val="22"/>
                      <w:szCs w:val="22"/>
                      <w:lang w:val="en-GB" w:eastAsia="en-GB"/>
                    </w:rPr>
                    <w:t>University</w:t>
                  </w:r>
                </w:smartTag>
              </w:smartTag>
            </w:smartTag>
            <w:r w:rsidRPr="00C62061">
              <w:rPr>
                <w:sz w:val="22"/>
                <w:szCs w:val="22"/>
                <w:lang w:val="en-GB" w:eastAsia="en-GB"/>
              </w:rPr>
              <w:t xml:space="preserve"> Journal of Research. Jan2012, Vol. 28 Issue 1, pp. 88-96.</w:t>
            </w:r>
          </w:p>
          <w:p w:rsidR="005A356F" w:rsidRPr="00C62061" w:rsidRDefault="005A356F" w:rsidP="00DD44C8">
            <w:pPr>
              <w:numPr>
                <w:ilvl w:val="0"/>
                <w:numId w:val="2"/>
              </w:numPr>
              <w:rPr>
                <w:lang w:eastAsia="en-GB"/>
              </w:rPr>
            </w:pPr>
            <w:r w:rsidRPr="00C62061">
              <w:rPr>
                <w:sz w:val="22"/>
                <w:szCs w:val="22"/>
                <w:lang w:val="en-GB" w:eastAsia="en-GB"/>
              </w:rPr>
              <w:t xml:space="preserve">Jureidini R. </w:t>
            </w:r>
            <w:r w:rsidRPr="00C62061">
              <w:rPr>
                <w:i/>
                <w:sz w:val="22"/>
                <w:szCs w:val="22"/>
                <w:lang w:val="en-GB" w:eastAsia="en-GB"/>
              </w:rPr>
              <w:t xml:space="preserve">Trafficking and contract migrant workers in the </w:t>
            </w:r>
            <w:smartTag w:uri="urn:schemas-microsoft-com:office:smarttags" w:element="country-region">
              <w:smartTag w:uri="urn:schemas-microsoft-com:office:smarttags" w:element="place">
                <w:r w:rsidRPr="00C62061">
                  <w:rPr>
                    <w:i/>
                    <w:sz w:val="22"/>
                    <w:szCs w:val="22"/>
                    <w:lang w:val="en-GB" w:eastAsia="en-GB"/>
                  </w:rPr>
                  <w:t>Middle East</w:t>
                </w:r>
              </w:smartTag>
            </w:smartTag>
            <w:r w:rsidRPr="00C62061">
              <w:rPr>
                <w:i/>
                <w:sz w:val="22"/>
                <w:szCs w:val="22"/>
                <w:lang w:val="en-GB" w:eastAsia="en-GB"/>
              </w:rPr>
              <w:t>.</w:t>
            </w:r>
            <w:r w:rsidRPr="00C62061">
              <w:rPr>
                <w:sz w:val="22"/>
                <w:szCs w:val="22"/>
                <w:lang w:val="en-GB" w:eastAsia="en-GB"/>
              </w:rPr>
              <w:t xml:space="preserve"> </w:t>
            </w:r>
            <w:r w:rsidRPr="00C62061">
              <w:rPr>
                <w:sz w:val="22"/>
                <w:szCs w:val="22"/>
                <w:lang w:eastAsia="en-GB"/>
              </w:rPr>
              <w:t>[w:] International Migration (Geneva, Switzerland) [Int Migr] 2010; Vol. 48 (4), pp. 142-63.</w:t>
            </w:r>
          </w:p>
          <w:p w:rsidR="005A356F" w:rsidRPr="00C62061" w:rsidRDefault="005A356F" w:rsidP="00DD44C8">
            <w:pPr>
              <w:numPr>
                <w:ilvl w:val="0"/>
                <w:numId w:val="2"/>
              </w:numPr>
              <w:rPr>
                <w:lang w:val="en-GB" w:eastAsia="en-GB"/>
              </w:rPr>
            </w:pPr>
            <w:r w:rsidRPr="00C62061">
              <w:rPr>
                <w:sz w:val="22"/>
                <w:szCs w:val="22"/>
                <w:lang w:val="en-GB" w:eastAsia="en-GB"/>
              </w:rPr>
              <w:t xml:space="preserve">Lee-Koo K. </w:t>
            </w:r>
            <w:r w:rsidRPr="00C62061">
              <w:rPr>
                <w:i/>
                <w:sz w:val="22"/>
                <w:szCs w:val="22"/>
                <w:lang w:val="en-GB" w:eastAsia="en-GB"/>
              </w:rPr>
              <w:t>Horror and hope: (re)presenting militarised children in global North-South relations.</w:t>
            </w:r>
            <w:r w:rsidRPr="00C62061">
              <w:rPr>
                <w:sz w:val="22"/>
                <w:szCs w:val="22"/>
                <w:lang w:val="en-GB" w:eastAsia="en-GB"/>
              </w:rPr>
              <w:t>[w:] Third World Quarterly [Third World Q] 2011; Vol. 32 (4), pp. 725-42.</w:t>
            </w:r>
          </w:p>
          <w:p w:rsidR="005A356F" w:rsidRPr="00C62061" w:rsidRDefault="005A356F" w:rsidP="00DD44C8">
            <w:pPr>
              <w:pStyle w:val="ecxmsonormal"/>
              <w:numPr>
                <w:ilvl w:val="0"/>
                <w:numId w:val="2"/>
              </w:numPr>
            </w:pPr>
            <w:r w:rsidRPr="00C62061">
              <w:rPr>
                <w:color w:val="000000"/>
                <w:sz w:val="22"/>
                <w:szCs w:val="22"/>
              </w:rPr>
              <w:t>Lindon J., Safeguarding Children and Young People: Child Protection 0-18 Years (Hodder Arnold Publication), 2009.</w:t>
            </w:r>
          </w:p>
          <w:p w:rsidR="005A356F" w:rsidRPr="00C62061" w:rsidRDefault="005A356F" w:rsidP="00DD44C8">
            <w:pPr>
              <w:numPr>
                <w:ilvl w:val="0"/>
                <w:numId w:val="2"/>
              </w:numPr>
              <w:rPr>
                <w:lang w:eastAsia="en-GB"/>
              </w:rPr>
            </w:pPr>
            <w:r w:rsidRPr="00C62061">
              <w:rPr>
                <w:sz w:val="22"/>
                <w:szCs w:val="22"/>
                <w:lang w:val="en-GB"/>
              </w:rPr>
              <w:t xml:space="preserve">Marx A., Goward S.,  </w:t>
            </w:r>
            <w:r w:rsidRPr="00C62061">
              <w:rPr>
                <w:i/>
                <w:sz w:val="22"/>
                <w:szCs w:val="22"/>
                <w:lang w:val="en-GB"/>
              </w:rPr>
              <w:t xml:space="preserve">Remote Sensing in Human Rights and International Humanitarian law monitoring </w:t>
            </w:r>
            <w:r w:rsidRPr="00C62061">
              <w:rPr>
                <w:i/>
                <w:sz w:val="22"/>
                <w:szCs w:val="22"/>
                <w:lang w:val="en-GB" w:eastAsia="en-GB"/>
              </w:rPr>
              <w:t>: Concepts and Methods</w:t>
            </w:r>
            <w:r w:rsidRPr="00C62061">
              <w:rPr>
                <w:sz w:val="22"/>
                <w:szCs w:val="22"/>
                <w:lang w:val="en-GB" w:eastAsia="en-GB"/>
              </w:rPr>
              <w:t xml:space="preserve"> [w:] Geographical Review. </w:t>
            </w:r>
            <w:r w:rsidRPr="00C62061">
              <w:rPr>
                <w:sz w:val="22"/>
                <w:szCs w:val="22"/>
                <w:lang w:eastAsia="en-GB"/>
              </w:rPr>
              <w:t>Jan2013, Vol. 103 Issue 1, pp. 100-111.</w:t>
            </w:r>
          </w:p>
          <w:p w:rsidR="005A356F" w:rsidRPr="00C62061" w:rsidRDefault="005A356F" w:rsidP="00DD44C8">
            <w:pPr>
              <w:numPr>
                <w:ilvl w:val="0"/>
                <w:numId w:val="2"/>
              </w:numPr>
              <w:rPr>
                <w:lang w:val="en-GB" w:eastAsia="en-GB"/>
              </w:rPr>
            </w:pPr>
            <w:r w:rsidRPr="00C62061">
              <w:rPr>
                <w:sz w:val="22"/>
                <w:szCs w:val="22"/>
                <w:lang w:val="en-GB" w:eastAsia="en-GB"/>
              </w:rPr>
              <w:t>Okudento S</w:t>
            </w:r>
            <w:r w:rsidRPr="00C62061">
              <w:rPr>
                <w:i/>
                <w:sz w:val="22"/>
                <w:szCs w:val="22"/>
                <w:lang w:val="en-GB" w:eastAsia="en-GB"/>
              </w:rPr>
              <w:t xml:space="preserve">. Civil Society and National Human Rights Institutions. </w:t>
            </w:r>
            <w:r w:rsidRPr="00C62061">
              <w:rPr>
                <w:sz w:val="22"/>
                <w:szCs w:val="22"/>
                <w:lang w:val="en-GB" w:eastAsia="en-GB"/>
              </w:rPr>
              <w:t xml:space="preserve">[w:] International Journal of Not-for- Profit Law. Dec2011, Vol. 13 Issue 4, pp. 5-52. </w:t>
            </w:r>
          </w:p>
          <w:p w:rsidR="005A356F" w:rsidRPr="00C62061" w:rsidRDefault="005A356F" w:rsidP="00DD44C8">
            <w:pPr>
              <w:numPr>
                <w:ilvl w:val="0"/>
                <w:numId w:val="2"/>
              </w:numPr>
              <w:rPr>
                <w:lang w:val="en-GB" w:eastAsia="en-GB"/>
              </w:rPr>
            </w:pPr>
            <w:bookmarkStart w:id="1" w:name="citation"/>
            <w:r w:rsidRPr="00C62061">
              <w:rPr>
                <w:sz w:val="22"/>
                <w:szCs w:val="22"/>
                <w:lang w:val="en-GB" w:eastAsia="en-GB"/>
              </w:rPr>
              <w:t xml:space="preserve">Torres-Ruiz A., </w:t>
            </w:r>
            <w:r w:rsidRPr="00C62061">
              <w:rPr>
                <w:i/>
                <w:sz w:val="22"/>
                <w:szCs w:val="22"/>
                <w:lang w:val="en-GB" w:eastAsia="en-GB"/>
              </w:rPr>
              <w:t xml:space="preserve">HIV/AIDS and sexual minorities in </w:t>
            </w:r>
            <w:smartTag w:uri="urn:schemas-microsoft-com:office:smarttags" w:element="country-region">
              <w:smartTag w:uri="urn:schemas-microsoft-com:office:smarttags" w:element="place">
                <w:r w:rsidRPr="00C62061">
                  <w:rPr>
                    <w:i/>
                    <w:sz w:val="22"/>
                    <w:szCs w:val="22"/>
                    <w:lang w:val="en-GB" w:eastAsia="en-GB"/>
                  </w:rPr>
                  <w:t>Mexico</w:t>
                </w:r>
              </w:smartTag>
            </w:smartTag>
            <w:r w:rsidRPr="00C62061">
              <w:rPr>
                <w:i/>
                <w:sz w:val="22"/>
                <w:szCs w:val="22"/>
                <w:lang w:val="en-GB" w:eastAsia="en-GB"/>
              </w:rPr>
              <w:t>: a globalized struggle for the protection of human rights</w:t>
            </w:r>
            <w:bookmarkEnd w:id="1"/>
            <w:r w:rsidRPr="00C62061">
              <w:rPr>
                <w:i/>
                <w:sz w:val="22"/>
                <w:szCs w:val="22"/>
                <w:lang w:val="en-GB" w:eastAsia="en-GB"/>
              </w:rPr>
              <w:t>,</w:t>
            </w:r>
            <w:r w:rsidRPr="00C62061">
              <w:rPr>
                <w:sz w:val="22"/>
                <w:szCs w:val="22"/>
                <w:lang w:val="en-GB" w:eastAsia="en-GB"/>
              </w:rPr>
              <w:t xml:space="preserve"> [w:] Latin American Research Review [Lat Am Res Rev] 2011; Vol. 46 (1), pp. 30-53.</w:t>
            </w:r>
          </w:p>
          <w:p w:rsidR="005A356F" w:rsidRPr="00C62061" w:rsidRDefault="005A356F" w:rsidP="00DD44C8">
            <w:pPr>
              <w:numPr>
                <w:ilvl w:val="0"/>
                <w:numId w:val="2"/>
              </w:numPr>
              <w:rPr>
                <w:sz w:val="18"/>
                <w:szCs w:val="18"/>
                <w:lang w:val="en-GB"/>
              </w:rPr>
            </w:pPr>
            <w:r w:rsidRPr="00C62061">
              <w:rPr>
                <w:sz w:val="22"/>
                <w:szCs w:val="22"/>
                <w:lang w:val="en-GB"/>
              </w:rPr>
              <w:t>Universal Declaration of Human Rights</w:t>
            </w:r>
          </w:p>
        </w:tc>
      </w:tr>
      <w:tr w:rsidR="005A356F" w:rsidRPr="0018209A" w:rsidTr="002654D6">
        <w:tc>
          <w:tcPr>
            <w:tcW w:w="2340" w:type="dxa"/>
          </w:tcPr>
          <w:p w:rsidR="005A356F" w:rsidRPr="002654D6" w:rsidRDefault="005A356F">
            <w:pPr>
              <w:rPr>
                <w:lang w:val="en-US"/>
              </w:rPr>
            </w:pPr>
            <w:r w:rsidRPr="002654D6">
              <w:rPr>
                <w:lang w:val="en-US"/>
              </w:rPr>
              <w:t>Teaching methods</w:t>
            </w:r>
          </w:p>
        </w:tc>
        <w:tc>
          <w:tcPr>
            <w:tcW w:w="8640" w:type="dxa"/>
          </w:tcPr>
          <w:p w:rsidR="005A356F" w:rsidRPr="002654D6" w:rsidRDefault="005A356F" w:rsidP="002654D6">
            <w:pPr>
              <w:tabs>
                <w:tab w:val="left" w:pos="-720"/>
              </w:tabs>
              <w:suppressAutoHyphens/>
              <w:jc w:val="both"/>
              <w:rPr>
                <w:spacing w:val="-3"/>
                <w:lang w:val="en-US"/>
              </w:rPr>
            </w:pPr>
            <w:r w:rsidRPr="002654D6">
              <w:rPr>
                <w:spacing w:val="-3"/>
                <w:lang w:val="en-US"/>
              </w:rPr>
              <w:t xml:space="preserve">Lectures, workshops, group discussions, multimedia presentations. </w:t>
            </w:r>
          </w:p>
        </w:tc>
      </w:tr>
      <w:tr w:rsidR="005A356F" w:rsidRPr="0018209A" w:rsidTr="002654D6">
        <w:tc>
          <w:tcPr>
            <w:tcW w:w="2340" w:type="dxa"/>
          </w:tcPr>
          <w:p w:rsidR="005A356F" w:rsidRPr="002654D6" w:rsidRDefault="005A356F">
            <w:pPr>
              <w:rPr>
                <w:lang w:val="en-US"/>
              </w:rPr>
            </w:pPr>
            <w:r w:rsidRPr="002654D6">
              <w:rPr>
                <w:lang w:val="en-US"/>
              </w:rPr>
              <w:t>Prerequisites</w:t>
            </w:r>
          </w:p>
        </w:tc>
        <w:tc>
          <w:tcPr>
            <w:tcW w:w="8640" w:type="dxa"/>
          </w:tcPr>
          <w:p w:rsidR="005A356F" w:rsidRPr="002654D6" w:rsidRDefault="005A356F" w:rsidP="0034750F">
            <w:pPr>
              <w:rPr>
                <w:lang w:val="en-US"/>
              </w:rPr>
            </w:pPr>
            <w:r w:rsidRPr="002654D6">
              <w:rPr>
                <w:lang w:val="en-US"/>
              </w:rPr>
              <w:t>Minimum</w:t>
            </w:r>
            <w:r>
              <w:rPr>
                <w:lang w:val="en-US"/>
              </w:rPr>
              <w:t>:</w:t>
            </w:r>
            <w:r w:rsidRPr="002654D6">
              <w:rPr>
                <w:lang w:val="en-US"/>
              </w:rPr>
              <w:t xml:space="preserve"> </w:t>
            </w:r>
            <w:r>
              <w:rPr>
                <w:lang w:val="en-US"/>
              </w:rPr>
              <w:t>I</w:t>
            </w:r>
            <w:r w:rsidRPr="002654D6">
              <w:rPr>
                <w:lang w:val="en-US"/>
              </w:rPr>
              <w:t>ntermediate level of English</w:t>
            </w:r>
          </w:p>
        </w:tc>
      </w:tr>
      <w:tr w:rsidR="005A356F" w:rsidRPr="0018209A" w:rsidTr="002654D6">
        <w:tc>
          <w:tcPr>
            <w:tcW w:w="2340" w:type="dxa"/>
          </w:tcPr>
          <w:p w:rsidR="005A356F" w:rsidRPr="002654D6" w:rsidRDefault="005A356F">
            <w:pPr>
              <w:rPr>
                <w:lang w:val="en-US"/>
              </w:rPr>
            </w:pPr>
            <w:r w:rsidRPr="002654D6">
              <w:rPr>
                <w:lang w:val="en-US"/>
              </w:rPr>
              <w:t>Assessment</w:t>
            </w:r>
          </w:p>
        </w:tc>
        <w:tc>
          <w:tcPr>
            <w:tcW w:w="8640" w:type="dxa"/>
          </w:tcPr>
          <w:p w:rsidR="005A356F" w:rsidRPr="002654D6" w:rsidRDefault="005A356F">
            <w:pPr>
              <w:rPr>
                <w:lang w:val="en-US"/>
              </w:rPr>
            </w:pPr>
            <w:r w:rsidRPr="002654D6">
              <w:rPr>
                <w:lang w:val="en-US"/>
              </w:rPr>
              <w:t xml:space="preserve">Written assignment in English language, team work projects. </w:t>
            </w:r>
          </w:p>
        </w:tc>
      </w:tr>
      <w:tr w:rsidR="005A356F" w:rsidRPr="00060433" w:rsidTr="002654D6">
        <w:tc>
          <w:tcPr>
            <w:tcW w:w="2340" w:type="dxa"/>
          </w:tcPr>
          <w:p w:rsidR="005A356F" w:rsidRPr="002654D6" w:rsidRDefault="005A356F">
            <w:pPr>
              <w:rPr>
                <w:lang w:val="en-US"/>
              </w:rPr>
            </w:pPr>
            <w:r w:rsidRPr="002654D6">
              <w:rPr>
                <w:lang w:val="en-US"/>
              </w:rPr>
              <w:t>Teaching language</w:t>
            </w:r>
          </w:p>
        </w:tc>
        <w:tc>
          <w:tcPr>
            <w:tcW w:w="8640" w:type="dxa"/>
          </w:tcPr>
          <w:p w:rsidR="005A356F" w:rsidRPr="002654D6" w:rsidRDefault="005A356F" w:rsidP="0034750F">
            <w:pPr>
              <w:rPr>
                <w:lang w:val="en-US"/>
              </w:rPr>
            </w:pPr>
            <w:r w:rsidRPr="002654D6">
              <w:rPr>
                <w:lang w:val="en-US"/>
              </w:rPr>
              <w:t>English</w:t>
            </w:r>
            <w:r w:rsidRPr="002654D6">
              <w:rPr>
                <w:lang w:val="es-ES_tradnl"/>
              </w:rPr>
              <w:t xml:space="preserve"> </w:t>
            </w:r>
          </w:p>
        </w:tc>
      </w:tr>
      <w:tr w:rsidR="005A356F" w:rsidRPr="00CD0EED" w:rsidTr="002654D6">
        <w:tc>
          <w:tcPr>
            <w:tcW w:w="2340" w:type="dxa"/>
          </w:tcPr>
          <w:p w:rsidR="005A356F" w:rsidRPr="002654D6" w:rsidRDefault="005A356F">
            <w:pPr>
              <w:rPr>
                <w:lang w:val="en-US"/>
              </w:rPr>
            </w:pPr>
            <w:r w:rsidRPr="002654D6">
              <w:rPr>
                <w:lang w:val="en-US"/>
              </w:rPr>
              <w:t xml:space="preserve">Contact person </w:t>
            </w:r>
          </w:p>
        </w:tc>
        <w:tc>
          <w:tcPr>
            <w:tcW w:w="8640" w:type="dxa"/>
          </w:tcPr>
          <w:p w:rsidR="005A356F" w:rsidRPr="0009714B" w:rsidRDefault="005A356F" w:rsidP="00CD0EED">
            <w:r w:rsidRPr="005F7DDA">
              <w:t>Anna Odrowąż-Coates</w:t>
            </w:r>
            <w:r>
              <w:t xml:space="preserve">, acoates@aps.edu.pl ; </w:t>
            </w:r>
            <w:r w:rsidRPr="005F7DDA">
              <w:t>tel.: +48 604 876 686</w:t>
            </w:r>
          </w:p>
        </w:tc>
      </w:tr>
    </w:tbl>
    <w:p w:rsidR="005A356F" w:rsidRPr="0009714B" w:rsidRDefault="005A356F"/>
    <w:sectPr w:rsidR="005A356F" w:rsidRPr="0009714B" w:rsidSect="0034750F">
      <w:pgSz w:w="11906" w:h="16838"/>
      <w:pgMar w:top="360" w:right="746" w:bottom="36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5297"/>
    <w:multiLevelType w:val="hybridMultilevel"/>
    <w:tmpl w:val="52D4FB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E1255DF"/>
    <w:multiLevelType w:val="hybridMultilevel"/>
    <w:tmpl w:val="2BD6F58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433"/>
    <w:rsid w:val="00010E85"/>
    <w:rsid w:val="000331B2"/>
    <w:rsid w:val="00035334"/>
    <w:rsid w:val="00060433"/>
    <w:rsid w:val="00061134"/>
    <w:rsid w:val="00084B7F"/>
    <w:rsid w:val="000872AC"/>
    <w:rsid w:val="0009714B"/>
    <w:rsid w:val="000B76C7"/>
    <w:rsid w:val="000C37FE"/>
    <w:rsid w:val="000E3352"/>
    <w:rsid w:val="00110A58"/>
    <w:rsid w:val="001371BD"/>
    <w:rsid w:val="00154698"/>
    <w:rsid w:val="001643A6"/>
    <w:rsid w:val="0018209A"/>
    <w:rsid w:val="001954D3"/>
    <w:rsid w:val="001B3A1D"/>
    <w:rsid w:val="001D63D2"/>
    <w:rsid w:val="001E6FE9"/>
    <w:rsid w:val="00237F04"/>
    <w:rsid w:val="00252DE1"/>
    <w:rsid w:val="002654D6"/>
    <w:rsid w:val="00276A11"/>
    <w:rsid w:val="00282E75"/>
    <w:rsid w:val="002D43B6"/>
    <w:rsid w:val="002E7A8F"/>
    <w:rsid w:val="0034750F"/>
    <w:rsid w:val="00356FE6"/>
    <w:rsid w:val="003A745F"/>
    <w:rsid w:val="003B466D"/>
    <w:rsid w:val="003B6D7F"/>
    <w:rsid w:val="003C204C"/>
    <w:rsid w:val="003F04C5"/>
    <w:rsid w:val="0040788E"/>
    <w:rsid w:val="004152BE"/>
    <w:rsid w:val="00434409"/>
    <w:rsid w:val="00444DD3"/>
    <w:rsid w:val="00454DAB"/>
    <w:rsid w:val="0047481A"/>
    <w:rsid w:val="004774CF"/>
    <w:rsid w:val="004D3317"/>
    <w:rsid w:val="004E47E1"/>
    <w:rsid w:val="004E6D60"/>
    <w:rsid w:val="005174A4"/>
    <w:rsid w:val="00524D4C"/>
    <w:rsid w:val="00525043"/>
    <w:rsid w:val="00586934"/>
    <w:rsid w:val="005A356F"/>
    <w:rsid w:val="005B78E0"/>
    <w:rsid w:val="005C6A6A"/>
    <w:rsid w:val="005F1BC9"/>
    <w:rsid w:val="005F7DDA"/>
    <w:rsid w:val="00610C4D"/>
    <w:rsid w:val="00627E25"/>
    <w:rsid w:val="00627FA0"/>
    <w:rsid w:val="00635FAE"/>
    <w:rsid w:val="0064561E"/>
    <w:rsid w:val="006A3EE9"/>
    <w:rsid w:val="006A3F41"/>
    <w:rsid w:val="006C02F7"/>
    <w:rsid w:val="006D4682"/>
    <w:rsid w:val="006F1D9D"/>
    <w:rsid w:val="00700271"/>
    <w:rsid w:val="00712444"/>
    <w:rsid w:val="0071620F"/>
    <w:rsid w:val="0073720F"/>
    <w:rsid w:val="00774B2A"/>
    <w:rsid w:val="007863B9"/>
    <w:rsid w:val="007D35CD"/>
    <w:rsid w:val="00862C8E"/>
    <w:rsid w:val="008704C4"/>
    <w:rsid w:val="00874B83"/>
    <w:rsid w:val="008B2D0A"/>
    <w:rsid w:val="008E5AF0"/>
    <w:rsid w:val="00900B4F"/>
    <w:rsid w:val="0090714E"/>
    <w:rsid w:val="00940B89"/>
    <w:rsid w:val="00994F90"/>
    <w:rsid w:val="009A3AF9"/>
    <w:rsid w:val="009A5142"/>
    <w:rsid w:val="009A6706"/>
    <w:rsid w:val="009C0491"/>
    <w:rsid w:val="009F67AF"/>
    <w:rsid w:val="00A44C87"/>
    <w:rsid w:val="00A84F99"/>
    <w:rsid w:val="00AE4D47"/>
    <w:rsid w:val="00AE4D92"/>
    <w:rsid w:val="00AE7A2A"/>
    <w:rsid w:val="00B252B1"/>
    <w:rsid w:val="00B26084"/>
    <w:rsid w:val="00B348EA"/>
    <w:rsid w:val="00BA5379"/>
    <w:rsid w:val="00BB5053"/>
    <w:rsid w:val="00C3037E"/>
    <w:rsid w:val="00C62061"/>
    <w:rsid w:val="00CA7905"/>
    <w:rsid w:val="00CD0EED"/>
    <w:rsid w:val="00CD2CD7"/>
    <w:rsid w:val="00CF1B3C"/>
    <w:rsid w:val="00D07E96"/>
    <w:rsid w:val="00D21D91"/>
    <w:rsid w:val="00D21FBB"/>
    <w:rsid w:val="00D67931"/>
    <w:rsid w:val="00D756D2"/>
    <w:rsid w:val="00DB0CD2"/>
    <w:rsid w:val="00DB6557"/>
    <w:rsid w:val="00DD44C8"/>
    <w:rsid w:val="00DE34D3"/>
    <w:rsid w:val="00E05A69"/>
    <w:rsid w:val="00E149F8"/>
    <w:rsid w:val="00E63FD8"/>
    <w:rsid w:val="00E7456E"/>
    <w:rsid w:val="00E87CC2"/>
    <w:rsid w:val="00EB2F5E"/>
    <w:rsid w:val="00EF3CC9"/>
    <w:rsid w:val="00F25D24"/>
    <w:rsid w:val="00F949EC"/>
    <w:rsid w:val="00FA1718"/>
    <w:rsid w:val="00FA6A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98"/>
    <w:rPr>
      <w:sz w:val="24"/>
      <w:szCs w:val="24"/>
      <w:lang w:val="pl-PL"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0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F04C5"/>
    <w:rPr>
      <w:rFonts w:cs="Times New Roman"/>
      <w:color w:val="0000FF"/>
      <w:u w:val="single"/>
    </w:rPr>
  </w:style>
  <w:style w:type="character" w:styleId="Strong">
    <w:name w:val="Strong"/>
    <w:basedOn w:val="DefaultParagraphFont"/>
    <w:uiPriority w:val="99"/>
    <w:qFormat/>
    <w:rsid w:val="003F04C5"/>
    <w:rPr>
      <w:rFonts w:cs="Times New Roman"/>
      <w:b/>
    </w:rPr>
  </w:style>
  <w:style w:type="character" w:styleId="FollowedHyperlink">
    <w:name w:val="FollowedHyperlink"/>
    <w:basedOn w:val="DefaultParagraphFont"/>
    <w:uiPriority w:val="99"/>
    <w:rsid w:val="003F04C5"/>
    <w:rPr>
      <w:rFonts w:cs="Times New Roman"/>
      <w:color w:val="800080"/>
      <w:u w:val="single"/>
    </w:rPr>
  </w:style>
  <w:style w:type="paragraph" w:customStyle="1" w:styleId="ecxmsonormal">
    <w:name w:val="ecxmsonormal"/>
    <w:basedOn w:val="Normal"/>
    <w:uiPriority w:val="99"/>
    <w:rsid w:val="00CD0EED"/>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dataoecd/30/26/45583188.pdf" TargetMode="External"/><Relationship Id="rId5" Type="http://schemas.openxmlformats.org/officeDocument/2006/relationships/hyperlink" Target="http://www.unicef.org/crc/index_3018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614</Words>
  <Characters>3500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Zajęcia w językach obcych</dc:title>
  <dc:subject/>
  <dc:creator>Antonina Adamowicz-Hummel</dc:creator>
  <cp:keywords/>
  <dc:description/>
  <cp:lastModifiedBy>Anna OC</cp:lastModifiedBy>
  <cp:revision>2</cp:revision>
  <dcterms:created xsi:type="dcterms:W3CDTF">2019-04-08T12:39:00Z</dcterms:created>
  <dcterms:modified xsi:type="dcterms:W3CDTF">2019-04-08T12:39:00Z</dcterms:modified>
</cp:coreProperties>
</file>